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B0" w:rsidRPr="00EF49E9" w:rsidRDefault="00A8478E" w:rsidP="004672AF">
      <w:pPr>
        <w:spacing w:after="0"/>
        <w:rPr>
          <w:rFonts w:ascii="Arial" w:hAnsi="Arial" w:cs="Arial"/>
          <w:sz w:val="24"/>
          <w:szCs w:val="24"/>
        </w:rPr>
      </w:pPr>
      <w:r>
        <w:rPr>
          <w:noProof/>
          <w:lang w:eastAsia="en-GB"/>
        </w:rPr>
        <w:drawing>
          <wp:anchor distT="0" distB="0" distL="114300" distR="114300" simplePos="0" relativeHeight="251658240" behindDoc="1" locked="0" layoutInCell="1" allowOverlap="1">
            <wp:simplePos x="0" y="0"/>
            <wp:positionH relativeFrom="column">
              <wp:posOffset>-893445</wp:posOffset>
            </wp:positionH>
            <wp:positionV relativeFrom="page">
              <wp:posOffset>0</wp:posOffset>
            </wp:positionV>
            <wp:extent cx="7527290" cy="10695940"/>
            <wp:effectExtent l="0" t="0" r="0" b="0"/>
            <wp:wrapTight wrapText="bothSides">
              <wp:wrapPolygon edited="0">
                <wp:start x="0" y="0"/>
                <wp:lineTo x="0" y="21544"/>
                <wp:lineTo x="21538" y="21544"/>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27290" cy="10695940"/>
                    </a:xfrm>
                    <a:prstGeom prst="rect">
                      <a:avLst/>
                    </a:prstGeom>
                  </pic:spPr>
                </pic:pic>
              </a:graphicData>
            </a:graphic>
            <wp14:sizeRelH relativeFrom="page">
              <wp14:pctWidth>0</wp14:pctWidth>
            </wp14:sizeRelH>
            <wp14:sizeRelV relativeFrom="page">
              <wp14:pctHeight>0</wp14:pctHeight>
            </wp14:sizeRelV>
          </wp:anchor>
        </w:drawing>
      </w:r>
    </w:p>
    <w:p w:rsidR="00907993" w:rsidRDefault="00907993">
      <w:pPr>
        <w:rPr>
          <w:rFonts w:ascii="Arial" w:hAnsi="Arial" w:cs="Arial"/>
          <w:b/>
          <w:sz w:val="56"/>
          <w:szCs w:val="56"/>
        </w:rPr>
      </w:pPr>
    </w:p>
    <w:p w:rsidR="00EF766C" w:rsidRPr="00182AC4" w:rsidRDefault="00EF766C" w:rsidP="00907993">
      <w:pPr>
        <w:spacing w:after="0"/>
        <w:ind w:left="32"/>
        <w:jc w:val="center"/>
        <w:rPr>
          <w:rFonts w:ascii="Arial" w:hAnsi="Arial" w:cs="Arial"/>
          <w:b/>
          <w:sz w:val="56"/>
          <w:szCs w:val="56"/>
        </w:rPr>
      </w:pPr>
      <w:r>
        <w:rPr>
          <w:rFonts w:ascii="Arial" w:hAnsi="Arial" w:cs="Arial"/>
          <w:b/>
          <w:sz w:val="56"/>
          <w:szCs w:val="56"/>
        </w:rPr>
        <w:t>Professional Resolutions Practice Guidance</w:t>
      </w:r>
    </w:p>
    <w:p w:rsidR="00294231" w:rsidRDefault="00294231" w:rsidP="00FB790C">
      <w:pPr>
        <w:pStyle w:val="NoSpacing"/>
        <w:jc w:val="center"/>
        <w:rPr>
          <w:rFonts w:ascii="Arial" w:hAnsi="Arial" w:cs="Arial"/>
          <w:b/>
          <w:sz w:val="24"/>
          <w:szCs w:val="24"/>
        </w:rPr>
      </w:pPr>
    </w:p>
    <w:tbl>
      <w:tblPr>
        <w:tblStyle w:val="TableGrid"/>
        <w:tblW w:w="9290" w:type="dxa"/>
        <w:tblInd w:w="32" w:type="dxa"/>
        <w:tblLook w:val="04A0" w:firstRow="1" w:lastRow="0" w:firstColumn="1" w:lastColumn="0" w:noHBand="0" w:noVBand="1"/>
      </w:tblPr>
      <w:tblGrid>
        <w:gridCol w:w="2344"/>
        <w:gridCol w:w="6946"/>
      </w:tblGrid>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Pr>
                <w:rFonts w:ascii="Arial" w:hAnsi="Arial" w:cs="Arial"/>
                <w:b/>
                <w:color w:val="FFFFFF" w:themeColor="background1"/>
                <w:sz w:val="24"/>
                <w:szCs w:val="24"/>
              </w:rPr>
              <w:t>Title</w:t>
            </w:r>
          </w:p>
        </w:tc>
        <w:tc>
          <w:tcPr>
            <w:tcW w:w="6946" w:type="dxa"/>
          </w:tcPr>
          <w:p w:rsidR="00EF766C" w:rsidRDefault="00EF766C" w:rsidP="00543BEB">
            <w:pPr>
              <w:rPr>
                <w:rFonts w:ascii="Arial" w:hAnsi="Arial" w:cs="Arial"/>
                <w:sz w:val="24"/>
                <w:szCs w:val="24"/>
              </w:rPr>
            </w:pPr>
            <w:r>
              <w:rPr>
                <w:rFonts w:ascii="Arial" w:hAnsi="Arial" w:cs="Arial"/>
                <w:sz w:val="24"/>
                <w:szCs w:val="24"/>
              </w:rPr>
              <w:t>Professional Resolutions Practice Guidance</w:t>
            </w:r>
          </w:p>
        </w:tc>
      </w:tr>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Version</w:t>
            </w:r>
          </w:p>
        </w:tc>
        <w:tc>
          <w:tcPr>
            <w:tcW w:w="6946" w:type="dxa"/>
          </w:tcPr>
          <w:p w:rsidR="00EF766C" w:rsidRDefault="00EF766C" w:rsidP="00543BEB">
            <w:pPr>
              <w:rPr>
                <w:rFonts w:ascii="Arial" w:hAnsi="Arial" w:cs="Arial"/>
                <w:sz w:val="24"/>
                <w:szCs w:val="24"/>
              </w:rPr>
            </w:pPr>
            <w:r>
              <w:rPr>
                <w:rFonts w:ascii="Arial" w:hAnsi="Arial" w:cs="Arial"/>
                <w:sz w:val="24"/>
                <w:szCs w:val="24"/>
              </w:rPr>
              <w:t>1.</w:t>
            </w:r>
            <w:r w:rsidR="00457006">
              <w:rPr>
                <w:rFonts w:ascii="Arial" w:hAnsi="Arial" w:cs="Arial"/>
                <w:sz w:val="24"/>
                <w:szCs w:val="24"/>
              </w:rPr>
              <w:t>3</w:t>
            </w:r>
          </w:p>
        </w:tc>
      </w:tr>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Date</w:t>
            </w:r>
          </w:p>
        </w:tc>
        <w:tc>
          <w:tcPr>
            <w:tcW w:w="6946" w:type="dxa"/>
          </w:tcPr>
          <w:p w:rsidR="00EF766C" w:rsidRDefault="00457006" w:rsidP="00ED1B3D">
            <w:pPr>
              <w:rPr>
                <w:rFonts w:ascii="Arial" w:hAnsi="Arial" w:cs="Arial"/>
                <w:sz w:val="24"/>
                <w:szCs w:val="24"/>
              </w:rPr>
            </w:pPr>
            <w:r>
              <w:rPr>
                <w:rFonts w:ascii="Arial" w:hAnsi="Arial" w:cs="Arial"/>
                <w:sz w:val="24"/>
                <w:szCs w:val="24"/>
              </w:rPr>
              <w:t>21/07/2021</w:t>
            </w:r>
            <w:bookmarkStart w:id="0" w:name="_GoBack"/>
            <w:bookmarkEnd w:id="0"/>
          </w:p>
        </w:tc>
      </w:tr>
      <w:tr w:rsidR="00EF766C" w:rsidTr="00543BEB">
        <w:tc>
          <w:tcPr>
            <w:tcW w:w="2344" w:type="dxa"/>
            <w:shd w:val="clear" w:color="auto" w:fill="0070C0"/>
          </w:tcPr>
          <w:p w:rsidR="00EF766C" w:rsidRPr="001217E7" w:rsidRDefault="00AF79A2" w:rsidP="00543BEB">
            <w:pPr>
              <w:rPr>
                <w:rFonts w:ascii="Arial" w:hAnsi="Arial" w:cs="Arial"/>
                <w:b/>
                <w:color w:val="FFFFFF" w:themeColor="background1"/>
                <w:sz w:val="24"/>
                <w:szCs w:val="24"/>
              </w:rPr>
            </w:pPr>
            <w:r>
              <w:rPr>
                <w:rFonts w:ascii="Arial" w:hAnsi="Arial" w:cs="Arial"/>
                <w:b/>
                <w:color w:val="FFFFFF" w:themeColor="background1"/>
                <w:sz w:val="24"/>
                <w:szCs w:val="24"/>
              </w:rPr>
              <w:t>Edited</w:t>
            </w:r>
          </w:p>
        </w:tc>
        <w:tc>
          <w:tcPr>
            <w:tcW w:w="6946" w:type="dxa"/>
          </w:tcPr>
          <w:p w:rsidR="00EF766C" w:rsidRDefault="00AF79A2" w:rsidP="00543BEB">
            <w:pPr>
              <w:rPr>
                <w:rFonts w:ascii="Arial" w:hAnsi="Arial" w:cs="Arial"/>
                <w:sz w:val="24"/>
                <w:szCs w:val="24"/>
              </w:rPr>
            </w:pPr>
            <w:r>
              <w:rPr>
                <w:rFonts w:ascii="Arial" w:hAnsi="Arial" w:cs="Arial"/>
                <w:sz w:val="24"/>
                <w:szCs w:val="24"/>
              </w:rPr>
              <w:t>NYSCP</w:t>
            </w:r>
            <w:r w:rsidR="00D43A2A">
              <w:rPr>
                <w:rFonts w:ascii="Arial" w:hAnsi="Arial" w:cs="Arial"/>
                <w:sz w:val="24"/>
                <w:szCs w:val="24"/>
              </w:rPr>
              <w:t xml:space="preserve"> Policy &amp; Development Officer</w:t>
            </w:r>
          </w:p>
        </w:tc>
      </w:tr>
    </w:tbl>
    <w:p w:rsidR="00EF766C" w:rsidRDefault="00EF766C" w:rsidP="00EF766C">
      <w:pPr>
        <w:spacing w:after="0"/>
        <w:ind w:left="32"/>
        <w:rPr>
          <w:rFonts w:ascii="Arial" w:hAnsi="Arial" w:cs="Arial"/>
          <w:sz w:val="24"/>
          <w:szCs w:val="24"/>
        </w:rPr>
      </w:pPr>
    </w:p>
    <w:tbl>
      <w:tblPr>
        <w:tblStyle w:val="TableGrid"/>
        <w:tblW w:w="9290" w:type="dxa"/>
        <w:tblInd w:w="32" w:type="dxa"/>
        <w:tblLook w:val="04A0" w:firstRow="1" w:lastRow="0" w:firstColumn="1" w:lastColumn="0" w:noHBand="0" w:noVBand="1"/>
      </w:tblPr>
      <w:tblGrid>
        <w:gridCol w:w="1329"/>
        <w:gridCol w:w="2423"/>
        <w:gridCol w:w="1418"/>
        <w:gridCol w:w="4120"/>
      </w:tblGrid>
      <w:tr w:rsidR="00EF766C" w:rsidTr="00543BEB">
        <w:tc>
          <w:tcPr>
            <w:tcW w:w="9290" w:type="dxa"/>
            <w:gridSpan w:val="4"/>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Update and Approval Process</w:t>
            </w:r>
          </w:p>
        </w:tc>
      </w:tr>
      <w:tr w:rsidR="00EF766C" w:rsidTr="00EF766C">
        <w:tc>
          <w:tcPr>
            <w:tcW w:w="1329"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Version</w:t>
            </w:r>
          </w:p>
        </w:tc>
        <w:tc>
          <w:tcPr>
            <w:tcW w:w="2423"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Group/Person</w:t>
            </w:r>
          </w:p>
        </w:tc>
        <w:tc>
          <w:tcPr>
            <w:tcW w:w="1418"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 xml:space="preserve">Date </w:t>
            </w:r>
          </w:p>
        </w:tc>
        <w:tc>
          <w:tcPr>
            <w:tcW w:w="4120"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Comments</w:t>
            </w:r>
          </w:p>
        </w:tc>
      </w:tr>
      <w:tr w:rsidR="00EF766C" w:rsidTr="00EF766C">
        <w:tc>
          <w:tcPr>
            <w:tcW w:w="1329" w:type="dxa"/>
          </w:tcPr>
          <w:p w:rsidR="00EF766C" w:rsidRDefault="00EF766C" w:rsidP="00543BEB">
            <w:pPr>
              <w:rPr>
                <w:rFonts w:ascii="Arial" w:hAnsi="Arial" w:cs="Arial"/>
                <w:sz w:val="24"/>
                <w:szCs w:val="24"/>
              </w:rPr>
            </w:pPr>
            <w:r>
              <w:rPr>
                <w:rFonts w:ascii="Arial" w:hAnsi="Arial" w:cs="Arial"/>
                <w:sz w:val="24"/>
                <w:szCs w:val="24"/>
              </w:rPr>
              <w:t>0.1</w:t>
            </w:r>
          </w:p>
        </w:tc>
        <w:tc>
          <w:tcPr>
            <w:tcW w:w="2423" w:type="dxa"/>
          </w:tcPr>
          <w:p w:rsidR="00EF766C" w:rsidRDefault="00EF766C" w:rsidP="00543BEB">
            <w:pPr>
              <w:rPr>
                <w:rFonts w:ascii="Arial" w:hAnsi="Arial" w:cs="Arial"/>
                <w:sz w:val="24"/>
                <w:szCs w:val="24"/>
              </w:rPr>
            </w:pPr>
            <w:r>
              <w:rPr>
                <w:rFonts w:ascii="Arial" w:hAnsi="Arial" w:cs="Arial"/>
                <w:sz w:val="24"/>
                <w:szCs w:val="24"/>
              </w:rPr>
              <w:t>NYSCB Business Manager</w:t>
            </w:r>
          </w:p>
        </w:tc>
        <w:tc>
          <w:tcPr>
            <w:tcW w:w="1418" w:type="dxa"/>
          </w:tcPr>
          <w:p w:rsidR="00EF766C" w:rsidRDefault="00EF766C" w:rsidP="00543BEB">
            <w:pPr>
              <w:rPr>
                <w:rFonts w:ascii="Arial" w:hAnsi="Arial" w:cs="Arial"/>
                <w:sz w:val="24"/>
                <w:szCs w:val="24"/>
              </w:rPr>
            </w:pPr>
            <w:r>
              <w:rPr>
                <w:rFonts w:ascii="Arial" w:hAnsi="Arial" w:cs="Arial"/>
                <w:sz w:val="24"/>
                <w:szCs w:val="24"/>
              </w:rPr>
              <w:t>06/05/2015</w:t>
            </w:r>
          </w:p>
        </w:tc>
        <w:tc>
          <w:tcPr>
            <w:tcW w:w="4120" w:type="dxa"/>
          </w:tcPr>
          <w:p w:rsidR="00EF766C" w:rsidRDefault="00EF766C" w:rsidP="00543BEB">
            <w:pPr>
              <w:rPr>
                <w:rFonts w:ascii="Arial" w:hAnsi="Arial" w:cs="Arial"/>
                <w:sz w:val="24"/>
                <w:szCs w:val="24"/>
              </w:rPr>
            </w:pPr>
            <w:r>
              <w:rPr>
                <w:rFonts w:ascii="Arial" w:hAnsi="Arial" w:cs="Arial"/>
                <w:sz w:val="24"/>
                <w:szCs w:val="24"/>
              </w:rPr>
              <w:t>Approved</w:t>
            </w:r>
          </w:p>
        </w:tc>
      </w:tr>
      <w:tr w:rsidR="00EF766C" w:rsidTr="00EF766C">
        <w:tc>
          <w:tcPr>
            <w:tcW w:w="1329" w:type="dxa"/>
          </w:tcPr>
          <w:p w:rsidR="00EF766C" w:rsidRDefault="00EF766C" w:rsidP="00543BEB">
            <w:pPr>
              <w:rPr>
                <w:rFonts w:ascii="Arial" w:hAnsi="Arial" w:cs="Arial"/>
                <w:sz w:val="24"/>
                <w:szCs w:val="24"/>
              </w:rPr>
            </w:pPr>
            <w:r>
              <w:rPr>
                <w:rFonts w:ascii="Arial" w:hAnsi="Arial" w:cs="Arial"/>
                <w:sz w:val="24"/>
                <w:szCs w:val="24"/>
              </w:rPr>
              <w:t>0.1</w:t>
            </w:r>
          </w:p>
        </w:tc>
        <w:tc>
          <w:tcPr>
            <w:tcW w:w="2423" w:type="dxa"/>
          </w:tcPr>
          <w:p w:rsidR="00EF766C" w:rsidRDefault="00EF766C" w:rsidP="00543BEB">
            <w:pPr>
              <w:rPr>
                <w:rFonts w:ascii="Arial" w:hAnsi="Arial" w:cs="Arial"/>
                <w:sz w:val="24"/>
                <w:szCs w:val="24"/>
              </w:rPr>
            </w:pPr>
            <w:r>
              <w:rPr>
                <w:rFonts w:ascii="Arial" w:hAnsi="Arial" w:cs="Arial"/>
                <w:sz w:val="24"/>
                <w:szCs w:val="24"/>
              </w:rPr>
              <w:t>NYSCB Executive</w:t>
            </w:r>
          </w:p>
        </w:tc>
        <w:tc>
          <w:tcPr>
            <w:tcW w:w="1418" w:type="dxa"/>
          </w:tcPr>
          <w:p w:rsidR="00EF766C" w:rsidRDefault="00EF766C" w:rsidP="00543BEB">
            <w:pPr>
              <w:rPr>
                <w:rFonts w:ascii="Arial" w:hAnsi="Arial" w:cs="Arial"/>
                <w:sz w:val="24"/>
                <w:szCs w:val="24"/>
              </w:rPr>
            </w:pPr>
            <w:r>
              <w:rPr>
                <w:rFonts w:ascii="Arial" w:hAnsi="Arial" w:cs="Arial"/>
                <w:sz w:val="24"/>
                <w:szCs w:val="24"/>
              </w:rPr>
              <w:t>13/05/2015</w:t>
            </w:r>
          </w:p>
        </w:tc>
        <w:tc>
          <w:tcPr>
            <w:tcW w:w="4120" w:type="dxa"/>
          </w:tcPr>
          <w:p w:rsidR="00EF766C" w:rsidRDefault="00EF766C" w:rsidP="00543BEB">
            <w:pPr>
              <w:rPr>
                <w:rFonts w:ascii="Arial" w:hAnsi="Arial" w:cs="Arial"/>
                <w:sz w:val="24"/>
                <w:szCs w:val="24"/>
              </w:rPr>
            </w:pPr>
            <w:r>
              <w:rPr>
                <w:rFonts w:ascii="Arial" w:hAnsi="Arial" w:cs="Arial"/>
                <w:sz w:val="24"/>
                <w:szCs w:val="24"/>
              </w:rPr>
              <w:t>Approved</w:t>
            </w:r>
          </w:p>
        </w:tc>
      </w:tr>
      <w:tr w:rsidR="00EF766C" w:rsidTr="00EF766C">
        <w:tc>
          <w:tcPr>
            <w:tcW w:w="1329" w:type="dxa"/>
          </w:tcPr>
          <w:p w:rsidR="00EF766C" w:rsidRDefault="00EF766C" w:rsidP="00543BEB">
            <w:pPr>
              <w:rPr>
                <w:rFonts w:ascii="Arial" w:hAnsi="Arial" w:cs="Arial"/>
                <w:sz w:val="24"/>
                <w:szCs w:val="24"/>
              </w:rPr>
            </w:pPr>
            <w:r>
              <w:rPr>
                <w:rFonts w:ascii="Arial" w:hAnsi="Arial" w:cs="Arial"/>
                <w:sz w:val="24"/>
                <w:szCs w:val="24"/>
              </w:rPr>
              <w:t>1.0</w:t>
            </w:r>
          </w:p>
        </w:tc>
        <w:tc>
          <w:tcPr>
            <w:tcW w:w="2423" w:type="dxa"/>
          </w:tcPr>
          <w:p w:rsidR="00EF766C" w:rsidRDefault="00EF766C" w:rsidP="00543BEB">
            <w:pPr>
              <w:rPr>
                <w:rFonts w:ascii="Arial" w:hAnsi="Arial" w:cs="Arial"/>
                <w:sz w:val="24"/>
                <w:szCs w:val="24"/>
              </w:rPr>
            </w:pPr>
            <w:r>
              <w:rPr>
                <w:rFonts w:ascii="Arial" w:hAnsi="Arial" w:cs="Arial"/>
                <w:sz w:val="24"/>
                <w:szCs w:val="24"/>
              </w:rPr>
              <w:t>NYSCB Board</w:t>
            </w:r>
          </w:p>
        </w:tc>
        <w:tc>
          <w:tcPr>
            <w:tcW w:w="1418" w:type="dxa"/>
          </w:tcPr>
          <w:p w:rsidR="00EF766C" w:rsidRDefault="00EF766C" w:rsidP="00543BEB">
            <w:pPr>
              <w:rPr>
                <w:rFonts w:ascii="Arial" w:hAnsi="Arial" w:cs="Arial"/>
                <w:sz w:val="24"/>
                <w:szCs w:val="24"/>
              </w:rPr>
            </w:pPr>
            <w:r>
              <w:rPr>
                <w:rFonts w:ascii="Arial" w:hAnsi="Arial" w:cs="Arial"/>
                <w:sz w:val="24"/>
                <w:szCs w:val="24"/>
              </w:rPr>
              <w:t>22/06/2015</w:t>
            </w:r>
          </w:p>
        </w:tc>
        <w:tc>
          <w:tcPr>
            <w:tcW w:w="4120" w:type="dxa"/>
          </w:tcPr>
          <w:p w:rsidR="00EF766C" w:rsidRDefault="00EF766C" w:rsidP="00543BEB">
            <w:pPr>
              <w:rPr>
                <w:rFonts w:ascii="Arial" w:hAnsi="Arial" w:cs="Arial"/>
                <w:sz w:val="24"/>
                <w:szCs w:val="24"/>
              </w:rPr>
            </w:pPr>
            <w:r>
              <w:rPr>
                <w:rFonts w:ascii="Arial" w:hAnsi="Arial" w:cs="Arial"/>
                <w:sz w:val="24"/>
                <w:szCs w:val="24"/>
              </w:rPr>
              <w:t>Baseline version for information</w:t>
            </w:r>
          </w:p>
        </w:tc>
      </w:tr>
      <w:tr w:rsidR="00ED1B3D" w:rsidTr="00EF766C">
        <w:tc>
          <w:tcPr>
            <w:tcW w:w="1329" w:type="dxa"/>
          </w:tcPr>
          <w:p w:rsidR="00ED1B3D" w:rsidRDefault="00ED1B3D" w:rsidP="00543BEB">
            <w:pPr>
              <w:rPr>
                <w:rFonts w:ascii="Arial" w:hAnsi="Arial" w:cs="Arial"/>
                <w:sz w:val="24"/>
                <w:szCs w:val="24"/>
              </w:rPr>
            </w:pPr>
            <w:r>
              <w:rPr>
                <w:rFonts w:ascii="Arial" w:hAnsi="Arial" w:cs="Arial"/>
                <w:sz w:val="24"/>
                <w:szCs w:val="24"/>
              </w:rPr>
              <w:t>1.1</w:t>
            </w:r>
          </w:p>
        </w:tc>
        <w:tc>
          <w:tcPr>
            <w:tcW w:w="2423" w:type="dxa"/>
          </w:tcPr>
          <w:p w:rsidR="00ED1B3D" w:rsidRDefault="00ED1B3D" w:rsidP="00543BEB">
            <w:pPr>
              <w:rPr>
                <w:rFonts w:ascii="Arial" w:hAnsi="Arial" w:cs="Arial"/>
                <w:sz w:val="24"/>
                <w:szCs w:val="24"/>
              </w:rPr>
            </w:pPr>
            <w:r>
              <w:rPr>
                <w:rFonts w:ascii="Arial" w:hAnsi="Arial" w:cs="Arial"/>
                <w:sz w:val="24"/>
                <w:szCs w:val="24"/>
              </w:rPr>
              <w:t>NYSCB Policy and Development Officer</w:t>
            </w:r>
          </w:p>
        </w:tc>
        <w:tc>
          <w:tcPr>
            <w:tcW w:w="1418" w:type="dxa"/>
          </w:tcPr>
          <w:p w:rsidR="00ED1B3D" w:rsidRDefault="00ED1B3D" w:rsidP="00543BEB">
            <w:pPr>
              <w:rPr>
                <w:rFonts w:ascii="Arial" w:hAnsi="Arial" w:cs="Arial"/>
                <w:sz w:val="24"/>
                <w:szCs w:val="24"/>
              </w:rPr>
            </w:pPr>
            <w:r>
              <w:rPr>
                <w:rFonts w:ascii="Arial" w:hAnsi="Arial" w:cs="Arial"/>
                <w:sz w:val="24"/>
                <w:szCs w:val="24"/>
              </w:rPr>
              <w:t>15/03/2018</w:t>
            </w:r>
          </w:p>
        </w:tc>
        <w:tc>
          <w:tcPr>
            <w:tcW w:w="4120" w:type="dxa"/>
          </w:tcPr>
          <w:p w:rsidR="00ED1B3D" w:rsidRDefault="00ED1B3D" w:rsidP="00543BEB">
            <w:pPr>
              <w:rPr>
                <w:rFonts w:ascii="Arial" w:hAnsi="Arial" w:cs="Arial"/>
                <w:sz w:val="24"/>
                <w:szCs w:val="24"/>
              </w:rPr>
            </w:pPr>
            <w:r>
              <w:rPr>
                <w:rFonts w:ascii="Arial" w:hAnsi="Arial" w:cs="Arial"/>
                <w:sz w:val="24"/>
                <w:szCs w:val="24"/>
              </w:rPr>
              <w:t>Reviewed and updated</w:t>
            </w:r>
          </w:p>
        </w:tc>
      </w:tr>
      <w:tr w:rsidR="00D260F3" w:rsidTr="00EF766C">
        <w:tc>
          <w:tcPr>
            <w:tcW w:w="1329" w:type="dxa"/>
          </w:tcPr>
          <w:p w:rsidR="00D260F3" w:rsidRDefault="00D260F3" w:rsidP="00D260F3">
            <w:pPr>
              <w:rPr>
                <w:rFonts w:ascii="Arial" w:hAnsi="Arial" w:cs="Arial"/>
                <w:sz w:val="24"/>
                <w:szCs w:val="24"/>
              </w:rPr>
            </w:pPr>
            <w:r>
              <w:rPr>
                <w:rFonts w:ascii="Arial" w:hAnsi="Arial" w:cs="Arial"/>
                <w:sz w:val="24"/>
                <w:szCs w:val="24"/>
              </w:rPr>
              <w:t>1.2</w:t>
            </w:r>
          </w:p>
        </w:tc>
        <w:tc>
          <w:tcPr>
            <w:tcW w:w="2423" w:type="dxa"/>
          </w:tcPr>
          <w:p w:rsidR="00D260F3" w:rsidRDefault="00D260F3" w:rsidP="00D260F3">
            <w:pPr>
              <w:rPr>
                <w:rFonts w:ascii="Arial" w:hAnsi="Arial" w:cs="Arial"/>
                <w:sz w:val="24"/>
                <w:szCs w:val="24"/>
              </w:rPr>
            </w:pPr>
            <w:r>
              <w:rPr>
                <w:rFonts w:ascii="Arial" w:hAnsi="Arial" w:cs="Arial"/>
                <w:sz w:val="24"/>
                <w:szCs w:val="24"/>
              </w:rPr>
              <w:t>NYSCP Business Unit</w:t>
            </w:r>
          </w:p>
        </w:tc>
        <w:tc>
          <w:tcPr>
            <w:tcW w:w="1418" w:type="dxa"/>
          </w:tcPr>
          <w:p w:rsidR="00D260F3" w:rsidRDefault="00D260F3" w:rsidP="00D260F3">
            <w:pPr>
              <w:rPr>
                <w:rFonts w:ascii="Arial" w:hAnsi="Arial" w:cs="Arial"/>
                <w:sz w:val="24"/>
                <w:szCs w:val="24"/>
              </w:rPr>
            </w:pPr>
            <w:r>
              <w:rPr>
                <w:rFonts w:ascii="Arial" w:hAnsi="Arial" w:cs="Arial"/>
                <w:sz w:val="24"/>
                <w:szCs w:val="24"/>
              </w:rPr>
              <w:t>11/11/2019</w:t>
            </w:r>
          </w:p>
        </w:tc>
        <w:tc>
          <w:tcPr>
            <w:tcW w:w="4120" w:type="dxa"/>
          </w:tcPr>
          <w:p w:rsidR="00D260F3" w:rsidRDefault="00D260F3" w:rsidP="00D260F3">
            <w:pPr>
              <w:rPr>
                <w:rFonts w:ascii="Arial" w:hAnsi="Arial" w:cs="Arial"/>
                <w:sz w:val="24"/>
                <w:szCs w:val="24"/>
              </w:rPr>
            </w:pPr>
            <w:r>
              <w:rPr>
                <w:rFonts w:ascii="Arial" w:hAnsi="Arial" w:cs="Arial"/>
                <w:sz w:val="24"/>
                <w:szCs w:val="24"/>
              </w:rPr>
              <w:t>Updated following NYSCP launch</w:t>
            </w:r>
          </w:p>
        </w:tc>
      </w:tr>
      <w:tr w:rsidR="00457006" w:rsidTr="00EF766C">
        <w:tc>
          <w:tcPr>
            <w:tcW w:w="1329" w:type="dxa"/>
          </w:tcPr>
          <w:p w:rsidR="00457006" w:rsidRDefault="00457006" w:rsidP="00D260F3">
            <w:pPr>
              <w:rPr>
                <w:rFonts w:ascii="Arial" w:hAnsi="Arial" w:cs="Arial"/>
                <w:sz w:val="24"/>
                <w:szCs w:val="24"/>
              </w:rPr>
            </w:pPr>
            <w:r>
              <w:rPr>
                <w:rFonts w:ascii="Arial" w:hAnsi="Arial" w:cs="Arial"/>
                <w:sz w:val="24"/>
                <w:szCs w:val="24"/>
              </w:rPr>
              <w:t>1.3</w:t>
            </w:r>
          </w:p>
        </w:tc>
        <w:tc>
          <w:tcPr>
            <w:tcW w:w="2423" w:type="dxa"/>
          </w:tcPr>
          <w:p w:rsidR="00457006" w:rsidRDefault="00457006" w:rsidP="00D260F3">
            <w:pPr>
              <w:rPr>
                <w:rFonts w:ascii="Arial" w:hAnsi="Arial" w:cs="Arial"/>
                <w:sz w:val="24"/>
                <w:szCs w:val="24"/>
              </w:rPr>
            </w:pPr>
            <w:r>
              <w:rPr>
                <w:rFonts w:ascii="Arial" w:hAnsi="Arial" w:cs="Arial"/>
                <w:sz w:val="24"/>
                <w:szCs w:val="24"/>
              </w:rPr>
              <w:t>NYSCP Business Unit</w:t>
            </w:r>
          </w:p>
        </w:tc>
        <w:tc>
          <w:tcPr>
            <w:tcW w:w="1418" w:type="dxa"/>
          </w:tcPr>
          <w:p w:rsidR="00457006" w:rsidRDefault="00457006" w:rsidP="00D260F3">
            <w:pPr>
              <w:rPr>
                <w:rFonts w:ascii="Arial" w:hAnsi="Arial" w:cs="Arial"/>
                <w:sz w:val="24"/>
                <w:szCs w:val="24"/>
              </w:rPr>
            </w:pPr>
            <w:r>
              <w:rPr>
                <w:rFonts w:ascii="Arial" w:hAnsi="Arial" w:cs="Arial"/>
                <w:sz w:val="24"/>
                <w:szCs w:val="24"/>
              </w:rPr>
              <w:t>21/07/2021</w:t>
            </w:r>
          </w:p>
        </w:tc>
        <w:tc>
          <w:tcPr>
            <w:tcW w:w="4120" w:type="dxa"/>
          </w:tcPr>
          <w:p w:rsidR="00457006" w:rsidRDefault="00457006" w:rsidP="00D260F3">
            <w:pPr>
              <w:rPr>
                <w:rFonts w:ascii="Arial" w:hAnsi="Arial" w:cs="Arial"/>
                <w:sz w:val="24"/>
                <w:szCs w:val="24"/>
              </w:rPr>
            </w:pPr>
            <w:r>
              <w:rPr>
                <w:rFonts w:ascii="Arial" w:hAnsi="Arial" w:cs="Arial"/>
                <w:sz w:val="24"/>
                <w:szCs w:val="24"/>
              </w:rPr>
              <w:t>Reviewed by IRO Manager and Head of Safeguarding – no changes required</w:t>
            </w:r>
          </w:p>
        </w:tc>
      </w:tr>
    </w:tbl>
    <w:p w:rsidR="00EF766C" w:rsidRDefault="00EF766C" w:rsidP="00EF766C">
      <w:pPr>
        <w:spacing w:after="0"/>
        <w:ind w:left="32"/>
        <w:rPr>
          <w:rFonts w:ascii="Arial" w:hAnsi="Arial" w:cs="Arial"/>
          <w:sz w:val="24"/>
          <w:szCs w:val="24"/>
        </w:rPr>
      </w:pPr>
    </w:p>
    <w:tbl>
      <w:tblPr>
        <w:tblStyle w:val="TableGrid"/>
        <w:tblW w:w="9290" w:type="dxa"/>
        <w:tblInd w:w="32" w:type="dxa"/>
        <w:tblLook w:val="04A0" w:firstRow="1" w:lastRow="0" w:firstColumn="1" w:lastColumn="0" w:noHBand="0" w:noVBand="1"/>
      </w:tblPr>
      <w:tblGrid>
        <w:gridCol w:w="2344"/>
        <w:gridCol w:w="6946"/>
      </w:tblGrid>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Issue Date</w:t>
            </w:r>
          </w:p>
        </w:tc>
        <w:tc>
          <w:tcPr>
            <w:tcW w:w="6946" w:type="dxa"/>
          </w:tcPr>
          <w:p w:rsidR="00EF766C" w:rsidRDefault="00457006" w:rsidP="00ED1B3D">
            <w:pPr>
              <w:rPr>
                <w:rFonts w:ascii="Arial" w:hAnsi="Arial" w:cs="Arial"/>
                <w:sz w:val="24"/>
                <w:szCs w:val="24"/>
              </w:rPr>
            </w:pPr>
            <w:r>
              <w:rPr>
                <w:rFonts w:ascii="Arial" w:hAnsi="Arial" w:cs="Arial"/>
                <w:sz w:val="24"/>
                <w:szCs w:val="24"/>
              </w:rPr>
              <w:t>27/07/2021</w:t>
            </w:r>
          </w:p>
        </w:tc>
      </w:tr>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Review Date</w:t>
            </w:r>
          </w:p>
        </w:tc>
        <w:tc>
          <w:tcPr>
            <w:tcW w:w="6946" w:type="dxa"/>
          </w:tcPr>
          <w:p w:rsidR="00EF766C" w:rsidRDefault="00457006" w:rsidP="00543BEB">
            <w:pPr>
              <w:rPr>
                <w:rFonts w:ascii="Arial" w:hAnsi="Arial" w:cs="Arial"/>
                <w:sz w:val="24"/>
                <w:szCs w:val="24"/>
              </w:rPr>
            </w:pPr>
            <w:r>
              <w:rPr>
                <w:rFonts w:ascii="Arial" w:hAnsi="Arial" w:cs="Arial"/>
                <w:sz w:val="24"/>
                <w:szCs w:val="24"/>
              </w:rPr>
              <w:t>21 July 2023</w:t>
            </w:r>
          </w:p>
        </w:tc>
      </w:tr>
      <w:tr w:rsidR="00EF766C" w:rsidTr="00543BEB">
        <w:tc>
          <w:tcPr>
            <w:tcW w:w="2344" w:type="dxa"/>
            <w:shd w:val="clear" w:color="auto" w:fill="0070C0"/>
          </w:tcPr>
          <w:p w:rsidR="00EF766C" w:rsidRPr="001217E7" w:rsidRDefault="00EF766C" w:rsidP="00543BEB">
            <w:pPr>
              <w:rPr>
                <w:rFonts w:ascii="Arial" w:hAnsi="Arial" w:cs="Arial"/>
                <w:b/>
                <w:color w:val="FFFFFF" w:themeColor="background1"/>
                <w:sz w:val="24"/>
                <w:szCs w:val="24"/>
              </w:rPr>
            </w:pPr>
            <w:r w:rsidRPr="001217E7">
              <w:rPr>
                <w:rFonts w:ascii="Arial" w:hAnsi="Arial" w:cs="Arial"/>
                <w:b/>
                <w:color w:val="FFFFFF" w:themeColor="background1"/>
                <w:sz w:val="24"/>
                <w:szCs w:val="24"/>
              </w:rPr>
              <w:t>Reviewing Officer</w:t>
            </w:r>
          </w:p>
        </w:tc>
        <w:tc>
          <w:tcPr>
            <w:tcW w:w="6946" w:type="dxa"/>
          </w:tcPr>
          <w:p w:rsidR="00EF766C" w:rsidRDefault="00A8478E" w:rsidP="00543BEB">
            <w:pPr>
              <w:rPr>
                <w:rFonts w:ascii="Arial" w:hAnsi="Arial" w:cs="Arial"/>
                <w:sz w:val="24"/>
                <w:szCs w:val="24"/>
              </w:rPr>
            </w:pPr>
            <w:r>
              <w:rPr>
                <w:rFonts w:ascii="Arial" w:hAnsi="Arial" w:cs="Arial"/>
                <w:sz w:val="24"/>
                <w:szCs w:val="24"/>
              </w:rPr>
              <w:t xml:space="preserve">NYSCP </w:t>
            </w:r>
            <w:r w:rsidR="00EF766C">
              <w:rPr>
                <w:rFonts w:ascii="Arial" w:hAnsi="Arial" w:cs="Arial"/>
                <w:sz w:val="24"/>
                <w:szCs w:val="24"/>
              </w:rPr>
              <w:t>Policy and Development Officer</w:t>
            </w:r>
          </w:p>
        </w:tc>
      </w:tr>
    </w:tbl>
    <w:p w:rsidR="00EF766C" w:rsidRDefault="00EF766C">
      <w:pPr>
        <w:rPr>
          <w:rFonts w:ascii="Arial" w:hAnsi="Arial" w:cs="Arial"/>
          <w:b/>
          <w:sz w:val="24"/>
          <w:szCs w:val="24"/>
        </w:rPr>
      </w:pPr>
      <w:r>
        <w:rPr>
          <w:rFonts w:ascii="Arial" w:hAnsi="Arial" w:cs="Arial"/>
          <w:b/>
          <w:sz w:val="24"/>
          <w:szCs w:val="24"/>
        </w:rPr>
        <w:br w:type="page"/>
      </w:r>
    </w:p>
    <w:p w:rsidR="00CF7568" w:rsidRDefault="00CF7568" w:rsidP="00FB790C">
      <w:pPr>
        <w:pStyle w:val="NoSpacing"/>
        <w:jc w:val="center"/>
        <w:rPr>
          <w:rFonts w:ascii="Arial" w:hAnsi="Arial" w:cs="Arial"/>
          <w:b/>
          <w:sz w:val="24"/>
          <w:szCs w:val="24"/>
        </w:rPr>
      </w:pPr>
    </w:p>
    <w:p w:rsidR="00CF7568" w:rsidRDefault="00CF7568" w:rsidP="00FB790C">
      <w:pPr>
        <w:pStyle w:val="NoSpacing"/>
        <w:jc w:val="center"/>
        <w:rPr>
          <w:rFonts w:ascii="Arial" w:hAnsi="Arial" w:cs="Arial"/>
          <w:b/>
          <w:sz w:val="24"/>
          <w:szCs w:val="24"/>
        </w:rPr>
      </w:pPr>
    </w:p>
    <w:p w:rsidR="00EC24B0" w:rsidRPr="00EF49E9" w:rsidRDefault="00181875" w:rsidP="00FB790C">
      <w:pPr>
        <w:pStyle w:val="NoSpacing"/>
        <w:jc w:val="center"/>
        <w:rPr>
          <w:rFonts w:ascii="Arial" w:hAnsi="Arial" w:cs="Arial"/>
          <w:b/>
          <w:sz w:val="24"/>
          <w:szCs w:val="24"/>
        </w:rPr>
      </w:pPr>
      <w:r w:rsidRPr="00EF49E9">
        <w:rPr>
          <w:rFonts w:ascii="Arial" w:hAnsi="Arial" w:cs="Arial"/>
          <w:b/>
          <w:sz w:val="24"/>
          <w:szCs w:val="24"/>
        </w:rPr>
        <w:t xml:space="preserve">North Yorkshire Safeguarding Children </w:t>
      </w:r>
      <w:r w:rsidR="00A8478E">
        <w:rPr>
          <w:rFonts w:ascii="Arial" w:hAnsi="Arial" w:cs="Arial"/>
          <w:b/>
          <w:sz w:val="24"/>
          <w:szCs w:val="24"/>
        </w:rPr>
        <w:t>Partnership</w:t>
      </w:r>
    </w:p>
    <w:p w:rsidR="00CF7568" w:rsidRDefault="00CF7568" w:rsidP="00FB790C">
      <w:pPr>
        <w:pStyle w:val="NoSpacing"/>
        <w:jc w:val="center"/>
        <w:rPr>
          <w:rFonts w:ascii="Arial" w:hAnsi="Arial" w:cs="Arial"/>
          <w:b/>
          <w:sz w:val="24"/>
          <w:szCs w:val="24"/>
        </w:rPr>
      </w:pPr>
    </w:p>
    <w:p w:rsidR="00181875" w:rsidRPr="00EF49E9" w:rsidRDefault="00CF7568" w:rsidP="00FB790C">
      <w:pPr>
        <w:pStyle w:val="NoSpacing"/>
        <w:jc w:val="center"/>
        <w:rPr>
          <w:rFonts w:ascii="Arial" w:hAnsi="Arial" w:cs="Arial"/>
          <w:b/>
          <w:sz w:val="24"/>
          <w:szCs w:val="24"/>
        </w:rPr>
      </w:pPr>
      <w:r>
        <w:rPr>
          <w:rFonts w:ascii="Arial" w:hAnsi="Arial" w:cs="Arial"/>
          <w:b/>
          <w:sz w:val="24"/>
          <w:szCs w:val="24"/>
        </w:rPr>
        <w:t>Professional Resolutions</w:t>
      </w:r>
      <w:r w:rsidRPr="00EF49E9">
        <w:rPr>
          <w:rFonts w:ascii="Arial" w:hAnsi="Arial" w:cs="Arial"/>
          <w:b/>
          <w:sz w:val="24"/>
          <w:szCs w:val="24"/>
        </w:rPr>
        <w:t xml:space="preserve"> </w:t>
      </w:r>
      <w:r w:rsidR="00181875" w:rsidRPr="00EF49E9">
        <w:rPr>
          <w:rFonts w:ascii="Arial" w:hAnsi="Arial" w:cs="Arial"/>
          <w:b/>
          <w:sz w:val="24"/>
          <w:szCs w:val="24"/>
        </w:rPr>
        <w:t>Practice Guidance</w:t>
      </w:r>
    </w:p>
    <w:p w:rsidR="00181875" w:rsidRPr="00EF49E9" w:rsidRDefault="00181875" w:rsidP="00874D09">
      <w:pPr>
        <w:pStyle w:val="NoSpacing"/>
        <w:rPr>
          <w:rFonts w:ascii="Arial" w:hAnsi="Arial" w:cs="Arial"/>
          <w:sz w:val="24"/>
          <w:szCs w:val="24"/>
        </w:rPr>
      </w:pPr>
    </w:p>
    <w:p w:rsidR="00874D09" w:rsidRPr="00EF49E9" w:rsidRDefault="00874D09" w:rsidP="00874D09">
      <w:pPr>
        <w:pStyle w:val="NoSpacing"/>
        <w:numPr>
          <w:ilvl w:val="0"/>
          <w:numId w:val="7"/>
        </w:numPr>
        <w:rPr>
          <w:rFonts w:ascii="Arial" w:hAnsi="Arial" w:cs="Arial"/>
          <w:b/>
          <w:sz w:val="24"/>
          <w:szCs w:val="24"/>
        </w:rPr>
      </w:pPr>
      <w:r w:rsidRPr="00EF49E9">
        <w:rPr>
          <w:rFonts w:ascii="Arial" w:hAnsi="Arial" w:cs="Arial"/>
          <w:b/>
          <w:sz w:val="24"/>
          <w:szCs w:val="24"/>
        </w:rPr>
        <w:t>Introduction</w:t>
      </w:r>
    </w:p>
    <w:p w:rsidR="00874D09" w:rsidRPr="00EF49E9" w:rsidRDefault="00874D09" w:rsidP="00874D09">
      <w:pPr>
        <w:pStyle w:val="NoSpacing"/>
        <w:rPr>
          <w:rFonts w:ascii="Arial" w:hAnsi="Arial" w:cs="Arial"/>
          <w:sz w:val="24"/>
          <w:szCs w:val="24"/>
        </w:rPr>
      </w:pPr>
    </w:p>
    <w:p w:rsidR="00181875" w:rsidRPr="00EF49E9" w:rsidRDefault="00181875" w:rsidP="00874D09">
      <w:pPr>
        <w:pStyle w:val="NoSpacing"/>
        <w:numPr>
          <w:ilvl w:val="1"/>
          <w:numId w:val="7"/>
        </w:numPr>
        <w:spacing w:after="120"/>
        <w:ind w:left="425"/>
        <w:rPr>
          <w:rFonts w:ascii="Arial" w:hAnsi="Arial" w:cs="Arial"/>
          <w:sz w:val="24"/>
          <w:szCs w:val="24"/>
        </w:rPr>
      </w:pPr>
      <w:r w:rsidRPr="00EF49E9">
        <w:rPr>
          <w:rFonts w:ascii="Arial" w:hAnsi="Arial" w:cs="Arial"/>
          <w:sz w:val="24"/>
          <w:szCs w:val="24"/>
        </w:rPr>
        <w:t>The purpose of this practice guidance is to ensure that where issues between agencies arise involving the safety and welfare of children or young people, matters can be resolved in a timely manner.</w:t>
      </w:r>
    </w:p>
    <w:p w:rsidR="00181875" w:rsidRPr="00EF49E9" w:rsidRDefault="00181875" w:rsidP="00874D09">
      <w:pPr>
        <w:pStyle w:val="NoSpacing"/>
        <w:numPr>
          <w:ilvl w:val="1"/>
          <w:numId w:val="7"/>
        </w:numPr>
        <w:spacing w:after="120"/>
        <w:ind w:left="425"/>
        <w:rPr>
          <w:rFonts w:ascii="Arial" w:hAnsi="Arial" w:cs="Arial"/>
          <w:sz w:val="24"/>
          <w:szCs w:val="24"/>
        </w:rPr>
      </w:pPr>
      <w:r w:rsidRPr="00EF49E9">
        <w:rPr>
          <w:rFonts w:ascii="Arial" w:hAnsi="Arial" w:cs="Arial"/>
          <w:sz w:val="24"/>
          <w:szCs w:val="24"/>
        </w:rPr>
        <w:t>Professional disagreements will sometimes arise over another professionals’ decisions, actions or lack of actions in relation to a referral, an assessment or an enquiry which are considered to be unsafe</w:t>
      </w:r>
    </w:p>
    <w:p w:rsidR="00874D09" w:rsidRPr="00EF49E9" w:rsidRDefault="00874D09" w:rsidP="00874D09">
      <w:pPr>
        <w:pStyle w:val="NoSpacing"/>
        <w:numPr>
          <w:ilvl w:val="1"/>
          <w:numId w:val="7"/>
        </w:numPr>
        <w:spacing w:after="120"/>
        <w:ind w:left="425"/>
        <w:rPr>
          <w:rFonts w:ascii="Arial" w:hAnsi="Arial" w:cs="Arial"/>
          <w:sz w:val="24"/>
          <w:szCs w:val="24"/>
        </w:rPr>
      </w:pPr>
      <w:r w:rsidRPr="00EF49E9">
        <w:rPr>
          <w:rFonts w:ascii="Arial" w:hAnsi="Arial" w:cs="Arial"/>
          <w:sz w:val="24"/>
          <w:szCs w:val="24"/>
        </w:rPr>
        <w:t xml:space="preserve">The child’s safety and </w:t>
      </w:r>
      <w:r w:rsidR="00D81975">
        <w:rPr>
          <w:rFonts w:ascii="Arial" w:hAnsi="Arial" w:cs="Arial"/>
          <w:sz w:val="24"/>
          <w:szCs w:val="24"/>
        </w:rPr>
        <w:t>welfare</w:t>
      </w:r>
      <w:r w:rsidR="00D81975" w:rsidRPr="00EF49E9">
        <w:rPr>
          <w:rFonts w:ascii="Arial" w:hAnsi="Arial" w:cs="Arial"/>
          <w:sz w:val="24"/>
          <w:szCs w:val="24"/>
        </w:rPr>
        <w:t xml:space="preserve"> </w:t>
      </w:r>
      <w:r w:rsidRPr="00EF49E9">
        <w:rPr>
          <w:rFonts w:ascii="Arial" w:hAnsi="Arial" w:cs="Arial"/>
          <w:sz w:val="24"/>
          <w:szCs w:val="24"/>
        </w:rPr>
        <w:t>must be of paramount consideration.  Professional differences must not inhibit timely and clear decision making.  All professionals working with children and families have a duty to:</w:t>
      </w:r>
    </w:p>
    <w:p w:rsidR="00874D09" w:rsidRPr="00EF49E9" w:rsidRDefault="00874D09" w:rsidP="00874D09">
      <w:pPr>
        <w:pStyle w:val="NoSpacing"/>
        <w:numPr>
          <w:ilvl w:val="0"/>
          <w:numId w:val="8"/>
        </w:numPr>
        <w:spacing w:after="120"/>
        <w:rPr>
          <w:rFonts w:ascii="Arial" w:hAnsi="Arial" w:cs="Arial"/>
          <w:sz w:val="24"/>
          <w:szCs w:val="24"/>
        </w:rPr>
      </w:pPr>
      <w:r w:rsidRPr="00EF49E9">
        <w:rPr>
          <w:rFonts w:ascii="Arial" w:hAnsi="Arial" w:cs="Arial"/>
          <w:sz w:val="24"/>
          <w:szCs w:val="24"/>
        </w:rPr>
        <w:t xml:space="preserve">act assertively and </w:t>
      </w:r>
    </w:p>
    <w:p w:rsidR="00181875" w:rsidRPr="00EF49E9" w:rsidRDefault="00874D09" w:rsidP="00874D09">
      <w:pPr>
        <w:pStyle w:val="NoSpacing"/>
        <w:numPr>
          <w:ilvl w:val="0"/>
          <w:numId w:val="8"/>
        </w:numPr>
        <w:spacing w:after="120"/>
        <w:rPr>
          <w:rFonts w:ascii="Arial" w:hAnsi="Arial" w:cs="Arial"/>
          <w:sz w:val="24"/>
          <w:szCs w:val="24"/>
        </w:rPr>
      </w:pPr>
      <w:r w:rsidRPr="00EF49E9">
        <w:rPr>
          <w:rFonts w:ascii="Arial" w:hAnsi="Arial" w:cs="Arial"/>
          <w:sz w:val="24"/>
          <w:szCs w:val="24"/>
        </w:rPr>
        <w:t xml:space="preserve">proactively to ensure the child’s </w:t>
      </w:r>
      <w:r w:rsidR="00D81975">
        <w:rPr>
          <w:rFonts w:ascii="Arial" w:hAnsi="Arial" w:cs="Arial"/>
          <w:sz w:val="24"/>
          <w:szCs w:val="24"/>
        </w:rPr>
        <w:t xml:space="preserve">safety and </w:t>
      </w:r>
      <w:r w:rsidRPr="00EF49E9">
        <w:rPr>
          <w:rFonts w:ascii="Arial" w:hAnsi="Arial" w:cs="Arial"/>
          <w:sz w:val="24"/>
          <w:szCs w:val="24"/>
        </w:rPr>
        <w:t>welfare is seen as a priority at all levels of professional activity.</w:t>
      </w:r>
    </w:p>
    <w:p w:rsidR="00874D09" w:rsidRPr="00EF49E9" w:rsidRDefault="00874D09" w:rsidP="00874D09">
      <w:pPr>
        <w:pStyle w:val="NoSpacing"/>
        <w:numPr>
          <w:ilvl w:val="1"/>
          <w:numId w:val="7"/>
        </w:numPr>
        <w:spacing w:after="120"/>
        <w:ind w:left="425"/>
        <w:rPr>
          <w:rFonts w:ascii="Arial" w:hAnsi="Arial" w:cs="Arial"/>
          <w:sz w:val="24"/>
          <w:szCs w:val="24"/>
        </w:rPr>
      </w:pPr>
      <w:r w:rsidRPr="00EF49E9">
        <w:rPr>
          <w:rFonts w:ascii="Arial" w:hAnsi="Arial" w:cs="Arial"/>
          <w:sz w:val="24"/>
          <w:szCs w:val="24"/>
        </w:rPr>
        <w:t xml:space="preserve">Professionals involved must also ensure that problems are resolved within the shortest timescale possible to protect the child. Individuals should therefore exercise their judgement as to whether the timelines outlined in this </w:t>
      </w:r>
      <w:r w:rsidR="002C5506">
        <w:rPr>
          <w:rFonts w:ascii="Arial" w:hAnsi="Arial" w:cs="Arial"/>
          <w:sz w:val="24"/>
          <w:szCs w:val="24"/>
        </w:rPr>
        <w:t>practice guidance</w:t>
      </w:r>
      <w:r w:rsidRPr="00EF49E9">
        <w:rPr>
          <w:rFonts w:ascii="Arial" w:hAnsi="Arial" w:cs="Arial"/>
          <w:sz w:val="24"/>
          <w:szCs w:val="24"/>
        </w:rPr>
        <w:t xml:space="preserve"> need</w:t>
      </w:r>
      <w:r w:rsidR="001C6DC7">
        <w:rPr>
          <w:rFonts w:ascii="Arial" w:hAnsi="Arial" w:cs="Arial"/>
          <w:sz w:val="24"/>
          <w:szCs w:val="24"/>
        </w:rPr>
        <w:t>s</w:t>
      </w:r>
      <w:r w:rsidRPr="00EF49E9">
        <w:rPr>
          <w:rFonts w:ascii="Arial" w:hAnsi="Arial" w:cs="Arial"/>
          <w:sz w:val="24"/>
          <w:szCs w:val="24"/>
        </w:rPr>
        <w:t xml:space="preserve"> to be achieved more quickly.</w:t>
      </w:r>
    </w:p>
    <w:p w:rsidR="00874D09" w:rsidRPr="00EF49E9" w:rsidRDefault="00874D09" w:rsidP="00885E63">
      <w:pPr>
        <w:pStyle w:val="NoSpacing"/>
        <w:numPr>
          <w:ilvl w:val="0"/>
          <w:numId w:val="7"/>
        </w:numPr>
        <w:ind w:left="357" w:hanging="357"/>
        <w:rPr>
          <w:rFonts w:ascii="Arial" w:hAnsi="Arial" w:cs="Arial"/>
          <w:b/>
          <w:sz w:val="24"/>
          <w:szCs w:val="24"/>
        </w:rPr>
      </w:pPr>
      <w:r w:rsidRPr="00EF49E9">
        <w:rPr>
          <w:rFonts w:ascii="Arial" w:hAnsi="Arial" w:cs="Arial"/>
          <w:b/>
          <w:sz w:val="24"/>
          <w:szCs w:val="24"/>
        </w:rPr>
        <w:t>Key Principles</w:t>
      </w:r>
    </w:p>
    <w:p w:rsidR="00885E63" w:rsidRPr="00EF49E9" w:rsidRDefault="00885E63" w:rsidP="00885E63">
      <w:pPr>
        <w:pStyle w:val="NoSpacing"/>
        <w:rPr>
          <w:rFonts w:ascii="Arial" w:hAnsi="Arial" w:cs="Arial"/>
          <w:b/>
          <w:sz w:val="24"/>
          <w:szCs w:val="24"/>
        </w:rPr>
      </w:pPr>
    </w:p>
    <w:p w:rsidR="00874D09" w:rsidRPr="00EF49E9" w:rsidRDefault="00874D09" w:rsidP="00874D09">
      <w:pPr>
        <w:pStyle w:val="NoSpacing"/>
        <w:numPr>
          <w:ilvl w:val="1"/>
          <w:numId w:val="7"/>
        </w:numPr>
        <w:ind w:left="426"/>
        <w:rPr>
          <w:rFonts w:ascii="Arial" w:hAnsi="Arial" w:cs="Arial"/>
          <w:sz w:val="24"/>
          <w:szCs w:val="24"/>
        </w:rPr>
      </w:pPr>
      <w:r w:rsidRPr="00EF49E9">
        <w:rPr>
          <w:rFonts w:ascii="Arial" w:hAnsi="Arial" w:cs="Arial"/>
          <w:sz w:val="24"/>
          <w:szCs w:val="24"/>
        </w:rPr>
        <w:t>Professionals should:</w:t>
      </w:r>
    </w:p>
    <w:p w:rsidR="00874D09" w:rsidRPr="00EF49E9" w:rsidRDefault="00874D09" w:rsidP="00874D09">
      <w:pPr>
        <w:pStyle w:val="NoSpacing"/>
        <w:rPr>
          <w:rFonts w:ascii="Arial" w:hAnsi="Arial" w:cs="Arial"/>
          <w:sz w:val="24"/>
          <w:szCs w:val="24"/>
        </w:rPr>
      </w:pPr>
    </w:p>
    <w:p w:rsidR="00874D09" w:rsidRPr="00EF49E9" w:rsidRDefault="00885E63" w:rsidP="00874D09">
      <w:pPr>
        <w:pStyle w:val="NoSpacing"/>
        <w:numPr>
          <w:ilvl w:val="0"/>
          <w:numId w:val="9"/>
        </w:numPr>
        <w:rPr>
          <w:rFonts w:ascii="Arial" w:hAnsi="Arial" w:cs="Arial"/>
          <w:sz w:val="24"/>
          <w:szCs w:val="24"/>
        </w:rPr>
      </w:pPr>
      <w:r w:rsidRPr="00EF49E9">
        <w:rPr>
          <w:rFonts w:ascii="Arial" w:hAnsi="Arial" w:cs="Arial"/>
          <w:sz w:val="24"/>
          <w:szCs w:val="24"/>
        </w:rPr>
        <w:t>Share information appropriately when required</w:t>
      </w:r>
    </w:p>
    <w:p w:rsidR="00885E63" w:rsidRPr="00EF49E9" w:rsidRDefault="00885E63" w:rsidP="00874D09">
      <w:pPr>
        <w:pStyle w:val="NoSpacing"/>
        <w:numPr>
          <w:ilvl w:val="0"/>
          <w:numId w:val="9"/>
        </w:numPr>
        <w:rPr>
          <w:rFonts w:ascii="Arial" w:hAnsi="Arial" w:cs="Arial"/>
          <w:sz w:val="24"/>
          <w:szCs w:val="24"/>
        </w:rPr>
      </w:pPr>
      <w:r w:rsidRPr="00EF49E9">
        <w:rPr>
          <w:rFonts w:ascii="Arial" w:hAnsi="Arial" w:cs="Arial"/>
          <w:sz w:val="24"/>
          <w:szCs w:val="24"/>
        </w:rPr>
        <w:t>Seek to resolve an issue quickly at a practice level rather than at a management level</w:t>
      </w:r>
    </w:p>
    <w:p w:rsidR="00885E63" w:rsidRPr="00EF49E9" w:rsidRDefault="00885E63" w:rsidP="00874D09">
      <w:pPr>
        <w:pStyle w:val="NoSpacing"/>
        <w:numPr>
          <w:ilvl w:val="0"/>
          <w:numId w:val="9"/>
        </w:numPr>
        <w:rPr>
          <w:rFonts w:ascii="Arial" w:hAnsi="Arial" w:cs="Arial"/>
          <w:sz w:val="24"/>
          <w:szCs w:val="24"/>
        </w:rPr>
      </w:pPr>
      <w:r w:rsidRPr="00EF49E9">
        <w:rPr>
          <w:rFonts w:ascii="Arial" w:hAnsi="Arial" w:cs="Arial"/>
          <w:sz w:val="24"/>
          <w:szCs w:val="24"/>
        </w:rPr>
        <w:t>Avoid disputes that place children at further risk by obscuring the focus on the child or delaying decision making</w:t>
      </w:r>
    </w:p>
    <w:p w:rsidR="00885E63" w:rsidRPr="00EF49E9" w:rsidRDefault="00885E63" w:rsidP="00874D09">
      <w:pPr>
        <w:pStyle w:val="NoSpacing"/>
        <w:numPr>
          <w:ilvl w:val="0"/>
          <w:numId w:val="9"/>
        </w:numPr>
        <w:rPr>
          <w:rFonts w:ascii="Arial" w:hAnsi="Arial" w:cs="Arial"/>
          <w:sz w:val="24"/>
          <w:szCs w:val="24"/>
        </w:rPr>
      </w:pPr>
      <w:r w:rsidRPr="00EF49E9">
        <w:rPr>
          <w:rFonts w:ascii="Arial" w:hAnsi="Arial" w:cs="Arial"/>
          <w:sz w:val="24"/>
          <w:szCs w:val="24"/>
        </w:rPr>
        <w:t>Liaise with lead safeguarding professionals or child protection designates in their organisation at the earliest opportunity</w:t>
      </w:r>
    </w:p>
    <w:p w:rsidR="00885E63" w:rsidRPr="00EF49E9" w:rsidRDefault="00885E63" w:rsidP="00885E63">
      <w:pPr>
        <w:pStyle w:val="NoSpacing"/>
        <w:numPr>
          <w:ilvl w:val="0"/>
          <w:numId w:val="9"/>
        </w:numPr>
        <w:rPr>
          <w:rFonts w:ascii="Arial" w:hAnsi="Arial" w:cs="Arial"/>
          <w:sz w:val="24"/>
          <w:szCs w:val="24"/>
        </w:rPr>
      </w:pPr>
      <w:r w:rsidRPr="00EF49E9">
        <w:rPr>
          <w:rFonts w:ascii="Arial" w:hAnsi="Arial" w:cs="Arial"/>
          <w:sz w:val="24"/>
          <w:szCs w:val="24"/>
        </w:rPr>
        <w:t>Keep the focus on the child’s safety and welfare at all times</w:t>
      </w:r>
    </w:p>
    <w:p w:rsidR="00885E63" w:rsidRPr="00EF49E9" w:rsidRDefault="00885E63" w:rsidP="00885E63">
      <w:pPr>
        <w:pStyle w:val="NoSpacing"/>
        <w:numPr>
          <w:ilvl w:val="0"/>
          <w:numId w:val="9"/>
        </w:numPr>
        <w:rPr>
          <w:rFonts w:ascii="Arial" w:hAnsi="Arial" w:cs="Arial"/>
          <w:sz w:val="24"/>
          <w:szCs w:val="24"/>
        </w:rPr>
      </w:pPr>
      <w:r w:rsidRPr="00EF49E9">
        <w:rPr>
          <w:rFonts w:ascii="Arial" w:hAnsi="Arial" w:cs="Arial"/>
          <w:sz w:val="24"/>
          <w:szCs w:val="24"/>
        </w:rPr>
        <w:t>Ensure they are familiar with the escalation routes within their agency for escalation and resolution</w:t>
      </w:r>
    </w:p>
    <w:p w:rsidR="00885E63" w:rsidRPr="00EF49E9" w:rsidRDefault="00885E63" w:rsidP="00885E63">
      <w:pPr>
        <w:pStyle w:val="NoSpacing"/>
        <w:numPr>
          <w:ilvl w:val="0"/>
          <w:numId w:val="9"/>
        </w:numPr>
        <w:rPr>
          <w:rFonts w:ascii="Arial" w:hAnsi="Arial" w:cs="Arial"/>
          <w:sz w:val="24"/>
          <w:szCs w:val="24"/>
        </w:rPr>
      </w:pPr>
      <w:r w:rsidRPr="00EF49E9">
        <w:rPr>
          <w:rFonts w:ascii="Arial" w:hAnsi="Arial" w:cs="Arial"/>
          <w:sz w:val="24"/>
          <w:szCs w:val="24"/>
        </w:rPr>
        <w:t xml:space="preserve">Ensure accurate and contemporary recording on the child’s file of key decisions and </w:t>
      </w:r>
      <w:r w:rsidR="00D81975">
        <w:rPr>
          <w:rFonts w:ascii="Arial" w:hAnsi="Arial" w:cs="Arial"/>
          <w:sz w:val="24"/>
          <w:szCs w:val="24"/>
        </w:rPr>
        <w:t>reasons</w:t>
      </w:r>
      <w:r w:rsidR="00CF7568">
        <w:rPr>
          <w:rFonts w:ascii="Arial" w:hAnsi="Arial" w:cs="Arial"/>
          <w:sz w:val="24"/>
          <w:szCs w:val="24"/>
        </w:rPr>
        <w:t xml:space="preserve"> for the decision</w:t>
      </w:r>
    </w:p>
    <w:p w:rsidR="00885E63" w:rsidRPr="00EF49E9" w:rsidRDefault="00885E63" w:rsidP="00885E63">
      <w:pPr>
        <w:pStyle w:val="NoSpacing"/>
        <w:numPr>
          <w:ilvl w:val="0"/>
          <w:numId w:val="9"/>
        </w:numPr>
        <w:rPr>
          <w:rFonts w:ascii="Arial" w:hAnsi="Arial" w:cs="Arial"/>
          <w:sz w:val="24"/>
          <w:szCs w:val="24"/>
        </w:rPr>
      </w:pPr>
      <w:r w:rsidRPr="00EF49E9">
        <w:rPr>
          <w:rFonts w:ascii="Arial" w:hAnsi="Arial" w:cs="Arial"/>
          <w:sz w:val="24"/>
          <w:szCs w:val="24"/>
        </w:rPr>
        <w:t>Stay proactively involved; safeguarding is everyone’s responsibility</w:t>
      </w:r>
    </w:p>
    <w:p w:rsidR="00885E63" w:rsidRPr="002F3D72" w:rsidRDefault="00885E63" w:rsidP="00885E63">
      <w:pPr>
        <w:pStyle w:val="ListParagraph"/>
        <w:numPr>
          <w:ilvl w:val="0"/>
          <w:numId w:val="9"/>
        </w:numPr>
        <w:rPr>
          <w:rFonts w:ascii="Arial" w:hAnsi="Arial" w:cs="Arial"/>
          <w:sz w:val="24"/>
          <w:szCs w:val="24"/>
        </w:rPr>
      </w:pPr>
      <w:r w:rsidRPr="002F3D72">
        <w:rPr>
          <w:rFonts w:ascii="Arial" w:hAnsi="Arial" w:cs="Arial"/>
          <w:sz w:val="24"/>
          <w:szCs w:val="24"/>
        </w:rPr>
        <w:t xml:space="preserve">Use the </w:t>
      </w:r>
      <w:r w:rsidR="00A8478E">
        <w:rPr>
          <w:rFonts w:ascii="Arial" w:hAnsi="Arial" w:cs="Arial"/>
          <w:sz w:val="24"/>
          <w:szCs w:val="24"/>
        </w:rPr>
        <w:t>NYSCP</w:t>
      </w:r>
      <w:r w:rsidR="00A8478E" w:rsidRPr="002F3D72">
        <w:rPr>
          <w:rFonts w:ascii="Arial" w:hAnsi="Arial" w:cs="Arial"/>
          <w:sz w:val="24"/>
          <w:szCs w:val="24"/>
        </w:rPr>
        <w:t xml:space="preserve"> </w:t>
      </w:r>
      <w:r w:rsidRPr="002F3D72">
        <w:rPr>
          <w:rFonts w:ascii="Arial" w:hAnsi="Arial" w:cs="Arial"/>
          <w:sz w:val="24"/>
          <w:szCs w:val="24"/>
        </w:rPr>
        <w:t xml:space="preserve">resolution process set out in </w:t>
      </w:r>
      <w:r w:rsidR="002F3D72" w:rsidRPr="002F3D72">
        <w:rPr>
          <w:rFonts w:ascii="Arial" w:hAnsi="Arial" w:cs="Arial"/>
          <w:sz w:val="24"/>
          <w:szCs w:val="24"/>
        </w:rPr>
        <w:t>Section 5 “</w:t>
      </w:r>
      <w:r w:rsidR="002F3D72" w:rsidRPr="002F3D72">
        <w:rPr>
          <w:rFonts w:ascii="Arial" w:hAnsi="Arial" w:cs="Arial"/>
          <w:i/>
          <w:sz w:val="24"/>
          <w:szCs w:val="24"/>
        </w:rPr>
        <w:t>Process for Professional Resolutions</w:t>
      </w:r>
      <w:r w:rsidR="002F3D72" w:rsidRPr="002F3D72">
        <w:rPr>
          <w:rFonts w:ascii="Arial" w:hAnsi="Arial" w:cs="Arial"/>
          <w:sz w:val="24"/>
          <w:szCs w:val="24"/>
        </w:rPr>
        <w:t>”</w:t>
      </w:r>
    </w:p>
    <w:p w:rsidR="00DF2F20" w:rsidRPr="00EF49E9" w:rsidRDefault="00DF2F20" w:rsidP="00DF2F20">
      <w:pPr>
        <w:pStyle w:val="NoSpacing"/>
        <w:rPr>
          <w:rFonts w:ascii="Arial" w:hAnsi="Arial" w:cs="Arial"/>
          <w:sz w:val="24"/>
          <w:szCs w:val="24"/>
        </w:rPr>
      </w:pPr>
    </w:p>
    <w:p w:rsidR="00DF2F20" w:rsidRPr="00EF49E9" w:rsidRDefault="00DF2F20" w:rsidP="00DF2F20">
      <w:pPr>
        <w:pStyle w:val="NoSpacing"/>
        <w:numPr>
          <w:ilvl w:val="0"/>
          <w:numId w:val="7"/>
        </w:numPr>
        <w:ind w:left="357" w:hanging="357"/>
        <w:rPr>
          <w:rFonts w:ascii="Arial" w:hAnsi="Arial" w:cs="Arial"/>
          <w:b/>
          <w:sz w:val="24"/>
          <w:szCs w:val="24"/>
        </w:rPr>
      </w:pPr>
      <w:r w:rsidRPr="00EF49E9">
        <w:rPr>
          <w:rFonts w:ascii="Arial" w:hAnsi="Arial" w:cs="Arial"/>
          <w:b/>
          <w:sz w:val="24"/>
          <w:szCs w:val="24"/>
        </w:rPr>
        <w:t>Roles of professionals and agencies</w:t>
      </w:r>
    </w:p>
    <w:p w:rsidR="00DF2F20" w:rsidRPr="00EF49E9" w:rsidRDefault="00DF2F20" w:rsidP="00DF2F20">
      <w:pPr>
        <w:pStyle w:val="NoSpacing"/>
        <w:rPr>
          <w:rFonts w:ascii="Arial" w:hAnsi="Arial" w:cs="Arial"/>
          <w:sz w:val="24"/>
          <w:szCs w:val="24"/>
        </w:rPr>
      </w:pPr>
    </w:p>
    <w:p w:rsidR="00A8478E" w:rsidRPr="00767819" w:rsidRDefault="00DF2F20" w:rsidP="00A8478E">
      <w:pPr>
        <w:pStyle w:val="NoSpacing"/>
        <w:numPr>
          <w:ilvl w:val="1"/>
          <w:numId w:val="7"/>
        </w:numPr>
        <w:ind w:left="426"/>
        <w:rPr>
          <w:rFonts w:ascii="Arial" w:hAnsi="Arial" w:cs="Arial"/>
          <w:sz w:val="24"/>
          <w:szCs w:val="24"/>
        </w:rPr>
      </w:pPr>
      <w:r w:rsidRPr="00EF49E9">
        <w:rPr>
          <w:rFonts w:ascii="Arial" w:hAnsi="Arial" w:cs="Arial"/>
          <w:sz w:val="24"/>
          <w:szCs w:val="24"/>
        </w:rPr>
        <w:lastRenderedPageBreak/>
        <w:t xml:space="preserve">Professionals providing services to children and families should work </w:t>
      </w:r>
      <w:r w:rsidR="00D81975">
        <w:rPr>
          <w:rFonts w:ascii="Arial" w:hAnsi="Arial" w:cs="Arial"/>
          <w:sz w:val="24"/>
          <w:szCs w:val="24"/>
        </w:rPr>
        <w:t>together</w:t>
      </w:r>
      <w:r w:rsidRPr="00EF49E9">
        <w:rPr>
          <w:rFonts w:ascii="Arial" w:hAnsi="Arial" w:cs="Arial"/>
          <w:sz w:val="24"/>
          <w:szCs w:val="24"/>
        </w:rPr>
        <w:t xml:space="preserve"> across all agencies.  Professionals working directly with children and their families should share information appropriately in line with national and local guidance.</w:t>
      </w:r>
    </w:p>
    <w:p w:rsidR="00DF2F20" w:rsidRPr="00EF49E9" w:rsidRDefault="00DF2F20" w:rsidP="00DF2F20">
      <w:pPr>
        <w:pStyle w:val="NoSpacing"/>
        <w:rPr>
          <w:rFonts w:ascii="Arial" w:hAnsi="Arial" w:cs="Arial"/>
          <w:sz w:val="24"/>
          <w:szCs w:val="24"/>
        </w:rPr>
      </w:pPr>
    </w:p>
    <w:p w:rsidR="00DF2F20" w:rsidRPr="00EF49E9" w:rsidRDefault="00DF2F20" w:rsidP="00DF2F20">
      <w:pPr>
        <w:pStyle w:val="NoSpacing"/>
        <w:numPr>
          <w:ilvl w:val="1"/>
          <w:numId w:val="7"/>
        </w:numPr>
        <w:ind w:left="426"/>
        <w:rPr>
          <w:rFonts w:ascii="Arial" w:hAnsi="Arial" w:cs="Arial"/>
          <w:sz w:val="24"/>
          <w:szCs w:val="24"/>
        </w:rPr>
      </w:pPr>
      <w:r w:rsidRPr="00EF49E9">
        <w:rPr>
          <w:rFonts w:ascii="Arial" w:hAnsi="Arial" w:cs="Arial"/>
          <w:sz w:val="24"/>
          <w:szCs w:val="24"/>
        </w:rPr>
        <w:t>Although the Local Authority is allocated a ‘lead’ role in co-ordinating responses, safeguarding is everyone’s responsibility and effective intervention is dependent upon inter-agency information sharing, planning and multi-agency service responses.</w:t>
      </w:r>
    </w:p>
    <w:p w:rsidR="00DF2F20" w:rsidRPr="00EF49E9" w:rsidRDefault="00DF2F20" w:rsidP="00DF2F20">
      <w:pPr>
        <w:pStyle w:val="ListParagraph"/>
        <w:rPr>
          <w:rFonts w:ascii="Arial" w:hAnsi="Arial" w:cs="Arial"/>
          <w:sz w:val="24"/>
          <w:szCs w:val="24"/>
        </w:rPr>
      </w:pPr>
    </w:p>
    <w:p w:rsidR="00DF2F20" w:rsidRPr="00EF49E9" w:rsidRDefault="006B1294" w:rsidP="006B1294">
      <w:pPr>
        <w:pStyle w:val="NoSpacing"/>
        <w:numPr>
          <w:ilvl w:val="1"/>
          <w:numId w:val="7"/>
        </w:numPr>
        <w:ind w:left="426"/>
        <w:contextualSpacing/>
        <w:rPr>
          <w:rFonts w:ascii="Arial" w:hAnsi="Arial" w:cs="Arial"/>
          <w:sz w:val="24"/>
          <w:szCs w:val="24"/>
        </w:rPr>
      </w:pPr>
      <w:r w:rsidRPr="00EF49E9">
        <w:rPr>
          <w:rFonts w:ascii="Arial" w:hAnsi="Arial" w:cs="Arial"/>
          <w:sz w:val="24"/>
          <w:szCs w:val="24"/>
        </w:rPr>
        <w:t>Problem resolution is an integral part of professional co-operation and joint</w:t>
      </w:r>
      <w:r w:rsidR="00D81975">
        <w:rPr>
          <w:rFonts w:ascii="Arial" w:hAnsi="Arial" w:cs="Arial"/>
          <w:sz w:val="24"/>
          <w:szCs w:val="24"/>
        </w:rPr>
        <w:t xml:space="preserve"> working</w:t>
      </w:r>
      <w:r w:rsidRPr="00EF49E9">
        <w:rPr>
          <w:rFonts w:ascii="Arial" w:hAnsi="Arial" w:cs="Arial"/>
          <w:sz w:val="24"/>
          <w:szCs w:val="24"/>
        </w:rPr>
        <w:t xml:space="preserve">. All agencies must adopt a proactive approach towards problem solving which enables professional disagreements to be resolved as quickly as possible and in most cases by </w:t>
      </w:r>
      <w:r w:rsidR="00D81975">
        <w:rPr>
          <w:rFonts w:ascii="Arial" w:hAnsi="Arial" w:cs="Arial"/>
          <w:sz w:val="24"/>
          <w:szCs w:val="24"/>
        </w:rPr>
        <w:t>practitioners</w:t>
      </w:r>
      <w:r w:rsidRPr="00EF49E9">
        <w:rPr>
          <w:rFonts w:ascii="Arial" w:hAnsi="Arial" w:cs="Arial"/>
          <w:sz w:val="24"/>
          <w:szCs w:val="24"/>
        </w:rPr>
        <w:t>.</w:t>
      </w:r>
    </w:p>
    <w:p w:rsidR="006B1294" w:rsidRPr="00EF49E9" w:rsidRDefault="006B1294" w:rsidP="006B1294">
      <w:pPr>
        <w:pStyle w:val="ListParagraph"/>
        <w:spacing w:after="0" w:line="240" w:lineRule="auto"/>
        <w:rPr>
          <w:rFonts w:ascii="Arial" w:hAnsi="Arial" w:cs="Arial"/>
          <w:sz w:val="24"/>
          <w:szCs w:val="24"/>
        </w:rPr>
      </w:pPr>
    </w:p>
    <w:p w:rsidR="006B1294" w:rsidRPr="00EF49E9" w:rsidRDefault="006B1294" w:rsidP="006B1294">
      <w:pPr>
        <w:pStyle w:val="NoSpacing"/>
        <w:numPr>
          <w:ilvl w:val="1"/>
          <w:numId w:val="7"/>
        </w:numPr>
        <w:ind w:left="426"/>
        <w:contextualSpacing/>
        <w:rPr>
          <w:rFonts w:ascii="Arial" w:hAnsi="Arial" w:cs="Arial"/>
          <w:sz w:val="24"/>
          <w:szCs w:val="24"/>
        </w:rPr>
      </w:pPr>
      <w:r w:rsidRPr="00EF49E9">
        <w:rPr>
          <w:rFonts w:ascii="Arial" w:hAnsi="Arial" w:cs="Arial"/>
          <w:sz w:val="24"/>
          <w:szCs w:val="24"/>
        </w:rPr>
        <w:t>Professionals’ actions should always be based on a robust assessment of the risk of harm to the child(ren) and the impact of the given situation on the child’s wellbeing.  The timescales identified within this document are practice guidance and refer to the maximum timescales agencies should follow.  In</w:t>
      </w:r>
      <w:r w:rsidR="00D3256C" w:rsidRPr="00EF49E9">
        <w:rPr>
          <w:rFonts w:ascii="Arial" w:hAnsi="Arial" w:cs="Arial"/>
          <w:sz w:val="24"/>
          <w:szCs w:val="24"/>
        </w:rPr>
        <w:t xml:space="preserve"> some cases i</w:t>
      </w:r>
      <w:r w:rsidRPr="00EF49E9">
        <w:rPr>
          <w:rFonts w:ascii="Arial" w:hAnsi="Arial" w:cs="Arial"/>
          <w:sz w:val="24"/>
          <w:szCs w:val="24"/>
        </w:rPr>
        <w:t>t may be necessary for action to be taken soone</w:t>
      </w:r>
      <w:r w:rsidR="00D3256C" w:rsidRPr="00EF49E9">
        <w:rPr>
          <w:rFonts w:ascii="Arial" w:hAnsi="Arial" w:cs="Arial"/>
          <w:sz w:val="24"/>
          <w:szCs w:val="24"/>
        </w:rPr>
        <w:t>r to protect a child or young person.  Timescales should not be a reason for delaying action.</w:t>
      </w:r>
    </w:p>
    <w:p w:rsidR="006B1294" w:rsidRPr="00EF49E9" w:rsidRDefault="006B1294" w:rsidP="006B1294">
      <w:pPr>
        <w:pStyle w:val="ListParagraph"/>
        <w:spacing w:after="0" w:line="240" w:lineRule="auto"/>
        <w:rPr>
          <w:rFonts w:ascii="Arial" w:hAnsi="Arial" w:cs="Arial"/>
          <w:sz w:val="24"/>
          <w:szCs w:val="24"/>
        </w:rPr>
      </w:pPr>
    </w:p>
    <w:p w:rsidR="006B1294" w:rsidRPr="00EF49E9" w:rsidRDefault="00D3256C" w:rsidP="00D3256C">
      <w:pPr>
        <w:pStyle w:val="NoSpacing"/>
        <w:numPr>
          <w:ilvl w:val="1"/>
          <w:numId w:val="7"/>
        </w:numPr>
        <w:ind w:left="426"/>
        <w:contextualSpacing/>
        <w:rPr>
          <w:rFonts w:ascii="Arial" w:hAnsi="Arial" w:cs="Arial"/>
          <w:sz w:val="24"/>
          <w:szCs w:val="24"/>
        </w:rPr>
      </w:pPr>
      <w:r w:rsidRPr="00EF49E9">
        <w:rPr>
          <w:rFonts w:ascii="Arial" w:hAnsi="Arial" w:cs="Arial"/>
          <w:sz w:val="24"/>
          <w:szCs w:val="24"/>
        </w:rPr>
        <w:t xml:space="preserve">If a child is thought to be at immediate risk of harm the designated safeguarding lead within the agency identifying the concern should be informed immediately. </w:t>
      </w:r>
      <w:r w:rsidR="00B87E1E">
        <w:rPr>
          <w:rFonts w:ascii="Arial" w:hAnsi="Arial" w:cs="Arial"/>
          <w:sz w:val="24"/>
          <w:szCs w:val="24"/>
        </w:rPr>
        <w:t>It is vital that if the child is felt to be at immediate risk, the police and Children’s Social Care must be contacted.</w:t>
      </w:r>
    </w:p>
    <w:p w:rsidR="00874D09" w:rsidRPr="00EF49E9" w:rsidRDefault="00874D09" w:rsidP="006B1294">
      <w:pPr>
        <w:pStyle w:val="NoSpacing"/>
        <w:ind w:left="426"/>
        <w:contextualSpacing/>
        <w:rPr>
          <w:rFonts w:ascii="Arial" w:hAnsi="Arial" w:cs="Arial"/>
          <w:sz w:val="24"/>
          <w:szCs w:val="24"/>
        </w:rPr>
      </w:pPr>
    </w:p>
    <w:p w:rsidR="00D3256C" w:rsidRPr="00EF49E9" w:rsidRDefault="006E6C18" w:rsidP="00D3256C">
      <w:pPr>
        <w:pStyle w:val="NoSpacing"/>
        <w:numPr>
          <w:ilvl w:val="0"/>
          <w:numId w:val="7"/>
        </w:numPr>
        <w:ind w:left="357" w:hanging="357"/>
        <w:rPr>
          <w:rFonts w:ascii="Arial" w:hAnsi="Arial" w:cs="Arial"/>
          <w:b/>
          <w:sz w:val="24"/>
          <w:szCs w:val="24"/>
        </w:rPr>
      </w:pPr>
      <w:r w:rsidRPr="00EF49E9">
        <w:rPr>
          <w:rFonts w:ascii="Arial" w:hAnsi="Arial" w:cs="Arial"/>
          <w:b/>
          <w:sz w:val="24"/>
          <w:szCs w:val="24"/>
        </w:rPr>
        <w:t>Professional Disagreements</w:t>
      </w:r>
    </w:p>
    <w:p w:rsidR="00D3256C" w:rsidRPr="00EF49E9" w:rsidRDefault="00D3256C" w:rsidP="00D3256C">
      <w:pPr>
        <w:pStyle w:val="NoSpacing"/>
        <w:ind w:left="360"/>
        <w:contextualSpacing/>
        <w:rPr>
          <w:rFonts w:ascii="Arial" w:hAnsi="Arial" w:cs="Arial"/>
          <w:sz w:val="24"/>
          <w:szCs w:val="24"/>
        </w:rPr>
      </w:pPr>
    </w:p>
    <w:p w:rsidR="00D3256C" w:rsidRPr="00EF49E9" w:rsidRDefault="00D3256C" w:rsidP="00D3256C">
      <w:pPr>
        <w:pStyle w:val="NoSpacing"/>
        <w:numPr>
          <w:ilvl w:val="1"/>
          <w:numId w:val="7"/>
        </w:numPr>
        <w:ind w:left="426"/>
        <w:contextualSpacing/>
        <w:rPr>
          <w:rFonts w:ascii="Arial" w:hAnsi="Arial" w:cs="Arial"/>
          <w:sz w:val="24"/>
          <w:szCs w:val="24"/>
        </w:rPr>
      </w:pPr>
      <w:r w:rsidRPr="00EF49E9">
        <w:rPr>
          <w:rFonts w:ascii="Arial" w:hAnsi="Arial" w:cs="Arial"/>
          <w:sz w:val="24"/>
          <w:szCs w:val="24"/>
        </w:rPr>
        <w:t>Disagreements are most likely to arise around thresholds, roles and responsibilities, the need for action and communication. Some examples may include:</w:t>
      </w:r>
    </w:p>
    <w:p w:rsidR="00D3256C" w:rsidRPr="00EF49E9" w:rsidRDefault="00D3256C" w:rsidP="00D3256C">
      <w:pPr>
        <w:pStyle w:val="NoSpacing"/>
        <w:ind w:left="426"/>
        <w:contextualSpacing/>
        <w:rPr>
          <w:rFonts w:ascii="Arial" w:hAnsi="Arial" w:cs="Arial"/>
          <w:sz w:val="24"/>
          <w:szCs w:val="24"/>
        </w:rPr>
      </w:pP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 xml:space="preserve">Where one professional disagrees with the action of another around a particular course of action, such as closing involvement with a child or family. </w:t>
      </w: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 xml:space="preserve">Where one worker or agency considers that another worker or agency has not completed an agreed action for no acceptable or understood reason. </w:t>
      </w: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 xml:space="preserve">Where one agency considers that the plan is inappropriate and that a child’s needs are not being best met by the current plan. </w:t>
      </w: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 xml:space="preserve">This could include a disagreement that a particular agency does not feel it needs to be involved, but another does. </w:t>
      </w: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 xml:space="preserve">Where a member of staff or an agency considers that the child’s safeguarding needs are better met by a Child Protection Plan and have requested that a Child Protection Conference be called and feel that this has been refused. </w:t>
      </w:r>
    </w:p>
    <w:p w:rsidR="00D3256C" w:rsidRPr="00EF49E9" w:rsidRDefault="00D3256C" w:rsidP="00D3256C">
      <w:pPr>
        <w:pStyle w:val="NoSpacing"/>
        <w:numPr>
          <w:ilvl w:val="0"/>
          <w:numId w:val="9"/>
        </w:numPr>
        <w:rPr>
          <w:rFonts w:ascii="Arial" w:hAnsi="Arial" w:cs="Arial"/>
          <w:sz w:val="24"/>
          <w:szCs w:val="24"/>
        </w:rPr>
      </w:pPr>
      <w:r w:rsidRPr="00EF49E9">
        <w:rPr>
          <w:rFonts w:ascii="Arial" w:hAnsi="Arial" w:cs="Arial"/>
          <w:sz w:val="24"/>
          <w:szCs w:val="24"/>
        </w:rPr>
        <w:t>Where a range of professionals have concerns about an agency’s response to safeguarding concerns</w:t>
      </w:r>
    </w:p>
    <w:p w:rsidR="006E6C18" w:rsidRPr="00EF49E9" w:rsidRDefault="006E6C18" w:rsidP="006E6C18">
      <w:pPr>
        <w:pStyle w:val="NoSpacing"/>
        <w:rPr>
          <w:rFonts w:ascii="Arial" w:hAnsi="Arial" w:cs="Arial"/>
          <w:sz w:val="24"/>
          <w:szCs w:val="24"/>
        </w:rPr>
      </w:pPr>
    </w:p>
    <w:p w:rsidR="00D3256C" w:rsidRDefault="006E6C18" w:rsidP="006E6C18">
      <w:pPr>
        <w:pStyle w:val="NoSpacing"/>
        <w:numPr>
          <w:ilvl w:val="1"/>
          <w:numId w:val="7"/>
        </w:numPr>
        <w:ind w:left="426"/>
        <w:contextualSpacing/>
        <w:rPr>
          <w:rFonts w:ascii="Arial" w:hAnsi="Arial" w:cs="Arial"/>
          <w:sz w:val="24"/>
          <w:szCs w:val="24"/>
        </w:rPr>
      </w:pPr>
      <w:r w:rsidRPr="00EF49E9">
        <w:rPr>
          <w:rFonts w:ascii="Arial" w:hAnsi="Arial" w:cs="Arial"/>
          <w:sz w:val="24"/>
          <w:szCs w:val="24"/>
        </w:rPr>
        <w:t>This is not an exhaustive list and disagreements may arise in a number of areas.</w:t>
      </w:r>
    </w:p>
    <w:p w:rsidR="006E6C18" w:rsidRPr="00EF49E9" w:rsidRDefault="006E6C18" w:rsidP="00767819">
      <w:pPr>
        <w:pStyle w:val="NoSpacing"/>
        <w:contextualSpacing/>
        <w:rPr>
          <w:rFonts w:ascii="Arial" w:hAnsi="Arial" w:cs="Arial"/>
          <w:sz w:val="24"/>
          <w:szCs w:val="24"/>
        </w:rPr>
      </w:pPr>
    </w:p>
    <w:p w:rsidR="006E6C18" w:rsidRPr="00EF49E9" w:rsidRDefault="006E6C18" w:rsidP="006E6C18">
      <w:pPr>
        <w:pStyle w:val="NoSpacing"/>
        <w:numPr>
          <w:ilvl w:val="0"/>
          <w:numId w:val="7"/>
        </w:numPr>
        <w:contextualSpacing/>
        <w:rPr>
          <w:rFonts w:ascii="Arial" w:hAnsi="Arial" w:cs="Arial"/>
          <w:b/>
          <w:sz w:val="24"/>
          <w:szCs w:val="24"/>
        </w:rPr>
      </w:pPr>
      <w:r w:rsidRPr="00EF49E9">
        <w:rPr>
          <w:rFonts w:ascii="Arial" w:hAnsi="Arial" w:cs="Arial"/>
          <w:b/>
          <w:sz w:val="24"/>
          <w:szCs w:val="24"/>
        </w:rPr>
        <w:t>Process for Professional Resolutions</w:t>
      </w:r>
    </w:p>
    <w:p w:rsidR="00B902C0" w:rsidRDefault="00B902C0" w:rsidP="006E6C18">
      <w:pPr>
        <w:pStyle w:val="NoSpacing"/>
        <w:ind w:left="426"/>
        <w:contextualSpacing/>
        <w:rPr>
          <w:rFonts w:ascii="Arial" w:hAnsi="Arial" w:cs="Arial"/>
          <w:sz w:val="24"/>
          <w:szCs w:val="24"/>
        </w:rPr>
      </w:pPr>
    </w:p>
    <w:p w:rsidR="006E6C18" w:rsidRPr="00EF49E9" w:rsidRDefault="00B902C0" w:rsidP="00B902C0">
      <w:pPr>
        <w:pStyle w:val="NoSpacing"/>
        <w:numPr>
          <w:ilvl w:val="1"/>
          <w:numId w:val="7"/>
        </w:numPr>
        <w:ind w:left="426"/>
        <w:contextualSpacing/>
        <w:rPr>
          <w:rFonts w:ascii="Arial" w:hAnsi="Arial" w:cs="Arial"/>
          <w:sz w:val="24"/>
          <w:szCs w:val="24"/>
        </w:rPr>
      </w:pPr>
      <w:r>
        <w:rPr>
          <w:rFonts w:ascii="Arial" w:hAnsi="Arial" w:cs="Arial"/>
          <w:sz w:val="24"/>
          <w:szCs w:val="24"/>
        </w:rPr>
        <w:t xml:space="preserve">The </w:t>
      </w:r>
      <w:r w:rsidR="00A8478E">
        <w:rPr>
          <w:rFonts w:ascii="Arial" w:hAnsi="Arial" w:cs="Arial"/>
          <w:sz w:val="24"/>
          <w:szCs w:val="24"/>
        </w:rPr>
        <w:t>NYSCP</w:t>
      </w:r>
      <w:r>
        <w:rPr>
          <w:rFonts w:ascii="Arial" w:hAnsi="Arial" w:cs="Arial"/>
          <w:sz w:val="24"/>
          <w:szCs w:val="24"/>
        </w:rPr>
        <w:t xml:space="preserve"> Professional Resolutions process is set within seven stages.  The table below identifies the actions at each stage of the process, who is responsible at each stage and timescales for completing actions.</w:t>
      </w:r>
    </w:p>
    <w:p w:rsidR="00EC24B0" w:rsidRPr="00EF49E9" w:rsidRDefault="00EC24B0" w:rsidP="004672AF">
      <w:pPr>
        <w:spacing w:after="0"/>
        <w:rPr>
          <w:rFonts w:ascii="Arial" w:hAnsi="Arial" w:cs="Arial"/>
          <w:b/>
          <w:sz w:val="24"/>
          <w:szCs w:val="24"/>
        </w:rPr>
      </w:pPr>
    </w:p>
    <w:tbl>
      <w:tblPr>
        <w:tblStyle w:val="MediumList2-Accent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6"/>
        <w:gridCol w:w="3474"/>
        <w:gridCol w:w="2295"/>
        <w:gridCol w:w="2311"/>
      </w:tblGrid>
      <w:tr w:rsidR="003C2CB4" w:rsidRPr="00EF49E9" w:rsidTr="00EF49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5" w:type="dxa"/>
            <w:tcBorders>
              <w:top w:val="none" w:sz="0" w:space="0" w:color="auto"/>
              <w:left w:val="none" w:sz="0" w:space="0" w:color="auto"/>
              <w:bottom w:val="none" w:sz="0" w:space="0" w:color="auto"/>
              <w:right w:val="none" w:sz="0" w:space="0" w:color="auto"/>
            </w:tcBorders>
          </w:tcPr>
          <w:p w:rsidR="003C2CB4" w:rsidRPr="00A8478E" w:rsidRDefault="003C2CB4" w:rsidP="004672AF">
            <w:pPr>
              <w:rPr>
                <w:rFonts w:ascii="Arial" w:hAnsi="Arial" w:cs="Arial"/>
                <w:b/>
                <w:sz w:val="22"/>
                <w:szCs w:val="22"/>
              </w:rPr>
            </w:pPr>
            <w:r w:rsidRPr="00A8478E">
              <w:rPr>
                <w:rFonts w:ascii="Arial" w:hAnsi="Arial" w:cs="Arial"/>
                <w:b/>
                <w:sz w:val="22"/>
                <w:szCs w:val="22"/>
              </w:rPr>
              <w:t>Stage</w:t>
            </w:r>
          </w:p>
        </w:tc>
        <w:tc>
          <w:tcPr>
            <w:tcW w:w="4212" w:type="dxa"/>
            <w:tcBorders>
              <w:top w:val="none" w:sz="0" w:space="0" w:color="auto"/>
              <w:left w:val="none" w:sz="0" w:space="0" w:color="auto"/>
              <w:bottom w:val="none" w:sz="0" w:space="0" w:color="auto"/>
              <w:right w:val="none" w:sz="0" w:space="0" w:color="auto"/>
            </w:tcBorders>
          </w:tcPr>
          <w:p w:rsidR="003C2CB4" w:rsidRPr="00A8478E" w:rsidRDefault="003C2CB4" w:rsidP="004672AF">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A8478E">
              <w:rPr>
                <w:rFonts w:ascii="Arial" w:hAnsi="Arial" w:cs="Arial"/>
                <w:b/>
                <w:sz w:val="22"/>
                <w:szCs w:val="22"/>
              </w:rPr>
              <w:t>Action</w:t>
            </w:r>
          </w:p>
        </w:tc>
        <w:tc>
          <w:tcPr>
            <w:tcW w:w="2671" w:type="dxa"/>
            <w:tcBorders>
              <w:top w:val="none" w:sz="0" w:space="0" w:color="auto"/>
              <w:left w:val="none" w:sz="0" w:space="0" w:color="auto"/>
              <w:bottom w:val="none" w:sz="0" w:space="0" w:color="auto"/>
              <w:right w:val="none" w:sz="0" w:space="0" w:color="auto"/>
            </w:tcBorders>
          </w:tcPr>
          <w:p w:rsidR="003C2CB4" w:rsidRPr="00A8478E" w:rsidRDefault="003C2CB4" w:rsidP="004672AF">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A8478E">
              <w:rPr>
                <w:rFonts w:ascii="Arial" w:hAnsi="Arial" w:cs="Arial"/>
                <w:b/>
                <w:sz w:val="22"/>
                <w:szCs w:val="22"/>
              </w:rPr>
              <w:t>Owner</w:t>
            </w:r>
          </w:p>
        </w:tc>
        <w:tc>
          <w:tcPr>
            <w:tcW w:w="2684" w:type="dxa"/>
            <w:tcBorders>
              <w:top w:val="none" w:sz="0" w:space="0" w:color="auto"/>
              <w:left w:val="none" w:sz="0" w:space="0" w:color="auto"/>
              <w:bottom w:val="none" w:sz="0" w:space="0" w:color="auto"/>
              <w:right w:val="none" w:sz="0" w:space="0" w:color="auto"/>
            </w:tcBorders>
          </w:tcPr>
          <w:p w:rsidR="003C2CB4" w:rsidRPr="00A8478E" w:rsidRDefault="003C2CB4" w:rsidP="004672AF">
            <w:pPr>
              <w:cnfStyle w:val="100000000000" w:firstRow="1" w:lastRow="0" w:firstColumn="0" w:lastColumn="0" w:oddVBand="0" w:evenVBand="0" w:oddHBand="0" w:evenHBand="0" w:firstRowFirstColumn="0" w:firstRowLastColumn="0" w:lastRowFirstColumn="0" w:lastRowLastColumn="0"/>
              <w:rPr>
                <w:rFonts w:ascii="Arial" w:hAnsi="Arial" w:cs="Arial"/>
                <w:b/>
                <w:sz w:val="22"/>
                <w:szCs w:val="22"/>
              </w:rPr>
            </w:pPr>
            <w:r w:rsidRPr="00A8478E">
              <w:rPr>
                <w:rFonts w:ascii="Arial" w:hAnsi="Arial" w:cs="Arial"/>
                <w:b/>
                <w:sz w:val="22"/>
                <w:szCs w:val="22"/>
              </w:rPr>
              <w:t>Timescale</w:t>
            </w:r>
          </w:p>
        </w:tc>
      </w:tr>
      <w:tr w:rsidR="003C2CB4" w:rsidRPr="00EF49E9" w:rsidTr="00EF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Borders>
              <w:top w:val="none" w:sz="0" w:space="0" w:color="auto"/>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1</w:t>
            </w:r>
          </w:p>
        </w:tc>
        <w:tc>
          <w:tcPr>
            <w:tcW w:w="4212" w:type="dxa"/>
            <w:tcBorders>
              <w:top w:val="none" w:sz="0" w:space="0" w:color="auto"/>
              <w:left w:val="none" w:sz="0" w:space="0" w:color="auto"/>
              <w:bottom w:val="none" w:sz="0" w:space="0" w:color="auto"/>
              <w:right w:val="none" w:sz="0" w:space="0" w:color="auto"/>
            </w:tcBorders>
          </w:tcPr>
          <w:p w:rsidR="00D53428" w:rsidRPr="00A8478E" w:rsidRDefault="005C5B3E" w:rsidP="003C2C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A professional from a</w:t>
            </w:r>
            <w:r w:rsidR="00B87E1E" w:rsidRPr="00A8478E">
              <w:rPr>
                <w:rFonts w:ascii="Arial" w:hAnsi="Arial" w:cs="Arial"/>
              </w:rPr>
              <w:t xml:space="preserve">n </w:t>
            </w:r>
            <w:r w:rsidRPr="00A8478E">
              <w:rPr>
                <w:rFonts w:ascii="Arial" w:hAnsi="Arial" w:cs="Arial"/>
              </w:rPr>
              <w:t>agency</w:t>
            </w:r>
            <w:r w:rsidR="00B87E1E" w:rsidRPr="00A8478E">
              <w:rPr>
                <w:rFonts w:ascii="Arial" w:hAnsi="Arial" w:cs="Arial"/>
              </w:rPr>
              <w:t xml:space="preserve"> involved with the child</w:t>
            </w:r>
            <w:r w:rsidRPr="00A8478E">
              <w:rPr>
                <w:rFonts w:ascii="Arial" w:hAnsi="Arial" w:cs="Arial"/>
              </w:rPr>
              <w:t xml:space="preserve"> is unhappy with a decision or response or inaction from any agency and this has been discussed </w:t>
            </w:r>
            <w:r w:rsidR="00B87E1E" w:rsidRPr="00A8478E">
              <w:rPr>
                <w:rFonts w:ascii="Arial" w:hAnsi="Arial" w:cs="Arial"/>
              </w:rPr>
              <w:t>between the agencies concerned</w:t>
            </w:r>
          </w:p>
          <w:p w:rsidR="003C2CB4" w:rsidRPr="00A8478E" w:rsidRDefault="003C2CB4"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71" w:type="dxa"/>
            <w:tcBorders>
              <w:top w:val="none" w:sz="0" w:space="0" w:color="auto"/>
              <w:left w:val="none" w:sz="0" w:space="0" w:color="auto"/>
              <w:bottom w:val="none" w:sz="0" w:space="0" w:color="auto"/>
              <w:right w:val="none" w:sz="0" w:space="0" w:color="auto"/>
            </w:tcBorders>
          </w:tcPr>
          <w:p w:rsidR="003C2CB4" w:rsidRPr="00A8478E" w:rsidRDefault="003C2CB4"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Professional from referring agency</w:t>
            </w:r>
          </w:p>
        </w:tc>
        <w:tc>
          <w:tcPr>
            <w:tcW w:w="2684" w:type="dxa"/>
            <w:tcBorders>
              <w:top w:val="none" w:sz="0" w:space="0" w:color="auto"/>
              <w:left w:val="none" w:sz="0" w:space="0" w:color="auto"/>
              <w:bottom w:val="none" w:sz="0" w:space="0" w:color="auto"/>
            </w:tcBorders>
          </w:tcPr>
          <w:p w:rsidR="00D53428" w:rsidRPr="00A8478E" w:rsidRDefault="005C5B3E" w:rsidP="003C2C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Seek to resolve within 24 to 96 hrs.</w:t>
            </w:r>
          </w:p>
          <w:p w:rsidR="003C2CB4" w:rsidRPr="00A8478E" w:rsidRDefault="003C2CB4"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C2CB4" w:rsidRPr="00EF49E9" w:rsidTr="00EF49E9">
        <w:tc>
          <w:tcPr>
            <w:cnfStyle w:val="001000000000" w:firstRow="0" w:lastRow="0" w:firstColumn="1" w:lastColumn="0" w:oddVBand="0" w:evenVBand="0" w:oddHBand="0" w:evenHBand="0" w:firstRowFirstColumn="0" w:firstRowLastColumn="0" w:lastRowFirstColumn="0" w:lastRowLastColumn="0"/>
            <w:tcW w:w="995" w:type="dxa"/>
            <w:tcBorders>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2</w:t>
            </w:r>
          </w:p>
        </w:tc>
        <w:tc>
          <w:tcPr>
            <w:tcW w:w="4212"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The professional discusses the decision with their Line Manager.</w:t>
            </w:r>
          </w:p>
        </w:tc>
        <w:tc>
          <w:tcPr>
            <w:tcW w:w="2671" w:type="dxa"/>
          </w:tcPr>
          <w:p w:rsidR="003C2CB4" w:rsidRPr="00A8478E" w:rsidRDefault="0097606A" w:rsidP="00B87E1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 xml:space="preserve">Professional from </w:t>
            </w:r>
            <w:r w:rsidR="00B87E1E" w:rsidRPr="00A8478E">
              <w:rPr>
                <w:rFonts w:ascii="Arial" w:hAnsi="Arial" w:cs="Arial"/>
              </w:rPr>
              <w:t xml:space="preserve">the concerned </w:t>
            </w:r>
            <w:r w:rsidRPr="00A8478E">
              <w:rPr>
                <w:rFonts w:ascii="Arial" w:hAnsi="Arial" w:cs="Arial"/>
              </w:rPr>
              <w:t>agency and Line Manager</w:t>
            </w:r>
          </w:p>
        </w:tc>
        <w:tc>
          <w:tcPr>
            <w:tcW w:w="2684"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Immediate once discussion has taken place</w:t>
            </w:r>
          </w:p>
        </w:tc>
      </w:tr>
      <w:tr w:rsidR="003C2CB4" w:rsidRPr="00EF49E9" w:rsidTr="00EF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Borders>
              <w:top w:val="none" w:sz="0" w:space="0" w:color="auto"/>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3</w:t>
            </w:r>
          </w:p>
        </w:tc>
        <w:tc>
          <w:tcPr>
            <w:tcW w:w="4212" w:type="dxa"/>
            <w:tcBorders>
              <w:top w:val="none" w:sz="0" w:space="0" w:color="auto"/>
              <w:left w:val="none" w:sz="0" w:space="0" w:color="auto"/>
              <w:bottom w:val="none" w:sz="0" w:space="0" w:color="auto"/>
              <w:right w:val="none" w:sz="0" w:space="0" w:color="auto"/>
            </w:tcBorders>
          </w:tcPr>
          <w:p w:rsidR="003C2CB4" w:rsidRPr="00A8478E" w:rsidRDefault="0097606A" w:rsidP="00B87E1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 xml:space="preserve">The Line Manager in the </w:t>
            </w:r>
            <w:r w:rsidR="00B87E1E" w:rsidRPr="00A8478E">
              <w:rPr>
                <w:rFonts w:ascii="Arial" w:hAnsi="Arial" w:cs="Arial"/>
              </w:rPr>
              <w:t>agency raising the concern</w:t>
            </w:r>
            <w:r w:rsidR="002C5506" w:rsidRPr="00A8478E">
              <w:rPr>
                <w:rFonts w:ascii="Arial" w:hAnsi="Arial" w:cs="Arial"/>
              </w:rPr>
              <w:t xml:space="preserve"> </w:t>
            </w:r>
            <w:r w:rsidRPr="00A8478E">
              <w:rPr>
                <w:rFonts w:ascii="Arial" w:hAnsi="Arial" w:cs="Arial"/>
              </w:rPr>
              <w:t>liaises with the named or Designated Safeguarding Lead within the agency who will then discuss the concern or response with the line manager of the decision maker in the receiving agency.</w:t>
            </w:r>
          </w:p>
        </w:tc>
        <w:tc>
          <w:tcPr>
            <w:tcW w:w="2671" w:type="dxa"/>
            <w:tcBorders>
              <w:top w:val="none" w:sz="0" w:space="0" w:color="auto"/>
              <w:left w:val="none" w:sz="0" w:space="0" w:color="auto"/>
              <w:bottom w:val="none" w:sz="0" w:space="0" w:color="auto"/>
              <w:right w:val="none" w:sz="0" w:space="0" w:color="auto"/>
            </w:tcBorders>
          </w:tcPr>
          <w:p w:rsidR="003C2CB4" w:rsidRPr="00A8478E" w:rsidRDefault="0097606A"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 xml:space="preserve">Line Manager in </w:t>
            </w:r>
            <w:r w:rsidR="00B87E1E" w:rsidRPr="00A8478E">
              <w:rPr>
                <w:rFonts w:ascii="Arial" w:hAnsi="Arial" w:cs="Arial"/>
              </w:rPr>
              <w:t>a</w:t>
            </w:r>
            <w:r w:rsidRPr="00A8478E">
              <w:rPr>
                <w:rFonts w:ascii="Arial" w:hAnsi="Arial" w:cs="Arial"/>
              </w:rPr>
              <w:t>gency</w:t>
            </w:r>
            <w:r w:rsidR="00B87E1E" w:rsidRPr="00A8478E">
              <w:rPr>
                <w:rFonts w:ascii="Arial" w:hAnsi="Arial" w:cs="Arial"/>
              </w:rPr>
              <w:t xml:space="preserve"> raising a concern.</w:t>
            </w:r>
          </w:p>
          <w:p w:rsidR="0097606A" w:rsidRPr="00A8478E" w:rsidRDefault="0097606A"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Named or Designated Safeguarding Lead</w:t>
            </w:r>
          </w:p>
          <w:p w:rsidR="0097606A" w:rsidRPr="00A8478E" w:rsidRDefault="0097606A"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Line Manager of Decision Maker in Receiving Agency</w:t>
            </w:r>
          </w:p>
        </w:tc>
        <w:tc>
          <w:tcPr>
            <w:tcW w:w="2684" w:type="dxa"/>
            <w:tcBorders>
              <w:top w:val="none" w:sz="0" w:space="0" w:color="auto"/>
              <w:left w:val="none" w:sz="0" w:space="0" w:color="auto"/>
              <w:bottom w:val="none" w:sz="0" w:space="0" w:color="auto"/>
            </w:tcBorders>
          </w:tcPr>
          <w:p w:rsidR="003C2CB4" w:rsidRPr="00A8478E" w:rsidRDefault="001B5382"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Within a maximum of 10 working days from the date of referral or the disputed decision or action or in a timescale which keeps the child safe, whichever is the sooner.</w:t>
            </w:r>
          </w:p>
        </w:tc>
      </w:tr>
      <w:tr w:rsidR="003C2CB4" w:rsidRPr="00EF49E9" w:rsidTr="00EF49E9">
        <w:tc>
          <w:tcPr>
            <w:cnfStyle w:val="001000000000" w:firstRow="0" w:lastRow="0" w:firstColumn="1" w:lastColumn="0" w:oddVBand="0" w:evenVBand="0" w:oddHBand="0" w:evenHBand="0" w:firstRowFirstColumn="0" w:firstRowLastColumn="0" w:lastRowFirstColumn="0" w:lastRowLastColumn="0"/>
            <w:tcW w:w="995" w:type="dxa"/>
            <w:tcBorders>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4</w:t>
            </w:r>
          </w:p>
        </w:tc>
        <w:tc>
          <w:tcPr>
            <w:tcW w:w="4212"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If the Designated Safeguarding Lead is unable to resolve the matter with the Line Manager of the receiving agency, then the matter should be escalated to the next most senior person in the line management hierarchy (for both agencies concerned).</w:t>
            </w:r>
          </w:p>
        </w:tc>
        <w:tc>
          <w:tcPr>
            <w:tcW w:w="2671"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Designated Safeguarding Lead of Referring Agency</w:t>
            </w:r>
          </w:p>
        </w:tc>
        <w:tc>
          <w:tcPr>
            <w:tcW w:w="2684"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The timescale for resolution should still be within 10 working days.</w:t>
            </w:r>
          </w:p>
        </w:tc>
      </w:tr>
      <w:tr w:rsidR="003C2CB4" w:rsidRPr="00EF49E9" w:rsidTr="00EF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Borders>
              <w:top w:val="none" w:sz="0" w:space="0" w:color="auto"/>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5</w:t>
            </w:r>
          </w:p>
        </w:tc>
        <w:tc>
          <w:tcPr>
            <w:tcW w:w="4212" w:type="dxa"/>
            <w:tcBorders>
              <w:top w:val="none" w:sz="0" w:space="0" w:color="auto"/>
              <w:left w:val="none" w:sz="0" w:space="0" w:color="auto"/>
              <w:bottom w:val="none" w:sz="0" w:space="0" w:color="auto"/>
              <w:right w:val="none" w:sz="0" w:space="0" w:color="auto"/>
            </w:tcBorders>
          </w:tcPr>
          <w:p w:rsidR="003C2CB4" w:rsidRPr="00A8478E" w:rsidRDefault="0097606A" w:rsidP="00B87E1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 xml:space="preserve">Designated Safeguarding Lead of </w:t>
            </w:r>
            <w:r w:rsidR="00B87E1E" w:rsidRPr="00A8478E">
              <w:rPr>
                <w:rFonts w:ascii="Arial" w:hAnsi="Arial" w:cs="Arial"/>
              </w:rPr>
              <w:t xml:space="preserve">the concerned agency </w:t>
            </w:r>
            <w:r w:rsidRPr="00A8478E">
              <w:rPr>
                <w:rFonts w:ascii="Arial" w:hAnsi="Arial" w:cs="Arial"/>
              </w:rPr>
              <w:t xml:space="preserve">makes </w:t>
            </w:r>
            <w:r w:rsidR="00B87E1E" w:rsidRPr="00A8478E">
              <w:rPr>
                <w:rFonts w:ascii="Arial" w:hAnsi="Arial" w:cs="Arial"/>
              </w:rPr>
              <w:t xml:space="preserve">a </w:t>
            </w:r>
            <w:r w:rsidRPr="00A8478E">
              <w:rPr>
                <w:rFonts w:ascii="Arial" w:hAnsi="Arial" w:cs="Arial"/>
              </w:rPr>
              <w:t>referral directly to the Chair of the LSCB via the LSCB Business Manager</w:t>
            </w:r>
          </w:p>
        </w:tc>
        <w:tc>
          <w:tcPr>
            <w:tcW w:w="2671" w:type="dxa"/>
            <w:tcBorders>
              <w:top w:val="none" w:sz="0" w:space="0" w:color="auto"/>
              <w:left w:val="none" w:sz="0" w:space="0" w:color="auto"/>
              <w:bottom w:val="none" w:sz="0" w:space="0" w:color="auto"/>
              <w:right w:val="none" w:sz="0" w:space="0" w:color="auto"/>
            </w:tcBorders>
          </w:tcPr>
          <w:p w:rsidR="003C2CB4" w:rsidRPr="00A8478E" w:rsidRDefault="0097606A"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Designated Safeguarding Lead of Referring Agency</w:t>
            </w:r>
          </w:p>
        </w:tc>
        <w:tc>
          <w:tcPr>
            <w:tcW w:w="2684" w:type="dxa"/>
            <w:tcBorders>
              <w:top w:val="none" w:sz="0" w:space="0" w:color="auto"/>
              <w:left w:val="none" w:sz="0" w:space="0" w:color="auto"/>
              <w:bottom w:val="none" w:sz="0" w:space="0" w:color="auto"/>
            </w:tcBorders>
          </w:tcPr>
          <w:p w:rsidR="003C2CB4" w:rsidRPr="00A8478E" w:rsidRDefault="00765CD2"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Within one working day.</w:t>
            </w:r>
          </w:p>
        </w:tc>
      </w:tr>
      <w:tr w:rsidR="003C2CB4" w:rsidRPr="00EF49E9" w:rsidTr="00EF49E9">
        <w:tc>
          <w:tcPr>
            <w:cnfStyle w:val="001000000000" w:firstRow="0" w:lastRow="0" w:firstColumn="1" w:lastColumn="0" w:oddVBand="0" w:evenVBand="0" w:oddHBand="0" w:evenHBand="0" w:firstRowFirstColumn="0" w:firstRowLastColumn="0" w:lastRowFirstColumn="0" w:lastRowLastColumn="0"/>
            <w:tcW w:w="995" w:type="dxa"/>
            <w:tcBorders>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6</w:t>
            </w:r>
          </w:p>
        </w:tc>
        <w:tc>
          <w:tcPr>
            <w:tcW w:w="4212" w:type="dxa"/>
          </w:tcPr>
          <w:p w:rsidR="003C2CB4" w:rsidRPr="00A8478E" w:rsidRDefault="0097606A" w:rsidP="0097606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A multi-agency panel convened</w:t>
            </w:r>
          </w:p>
        </w:tc>
        <w:tc>
          <w:tcPr>
            <w:tcW w:w="2671" w:type="dxa"/>
          </w:tcPr>
          <w:p w:rsidR="003C2CB4" w:rsidRPr="00A8478E" w:rsidRDefault="0097606A"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NYSCB Business Unit Manager</w:t>
            </w:r>
          </w:p>
        </w:tc>
        <w:tc>
          <w:tcPr>
            <w:tcW w:w="2684" w:type="dxa"/>
          </w:tcPr>
          <w:p w:rsidR="00A8478E" w:rsidRPr="00A8478E" w:rsidRDefault="00651D4C" w:rsidP="004672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478E">
              <w:rPr>
                <w:rFonts w:ascii="Arial" w:hAnsi="Arial" w:cs="Arial"/>
              </w:rPr>
              <w:t xml:space="preserve">Within </w:t>
            </w:r>
            <w:r w:rsidR="0097606A" w:rsidRPr="00A8478E">
              <w:rPr>
                <w:rFonts w:ascii="Arial" w:hAnsi="Arial" w:cs="Arial"/>
              </w:rPr>
              <w:t>3 working days of the issue being raised with the LSCB Chair</w:t>
            </w:r>
            <w:r w:rsidR="0054771F" w:rsidRPr="00A8478E">
              <w:rPr>
                <w:rFonts w:ascii="Arial" w:hAnsi="Arial" w:cs="Arial"/>
              </w:rPr>
              <w:t xml:space="preserve"> (no longer than 13 working days from the point of disagreement being raised)</w:t>
            </w:r>
          </w:p>
        </w:tc>
      </w:tr>
      <w:tr w:rsidR="003C2CB4" w:rsidRPr="00EF49E9" w:rsidTr="00EF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Borders>
              <w:top w:val="none" w:sz="0" w:space="0" w:color="auto"/>
              <w:left w:val="none" w:sz="0" w:space="0" w:color="auto"/>
              <w:bottom w:val="none" w:sz="0" w:space="0" w:color="auto"/>
              <w:right w:val="none" w:sz="0" w:space="0" w:color="auto"/>
            </w:tcBorders>
          </w:tcPr>
          <w:p w:rsidR="003C2CB4" w:rsidRPr="00A8478E" w:rsidRDefault="003C2CB4" w:rsidP="003C2CB4">
            <w:pPr>
              <w:jc w:val="center"/>
              <w:rPr>
                <w:rFonts w:ascii="Arial" w:hAnsi="Arial" w:cs="Arial"/>
                <w:b/>
              </w:rPr>
            </w:pPr>
            <w:r w:rsidRPr="00A8478E">
              <w:rPr>
                <w:rFonts w:ascii="Arial" w:hAnsi="Arial" w:cs="Arial"/>
                <w:b/>
              </w:rPr>
              <w:t>7</w:t>
            </w:r>
          </w:p>
        </w:tc>
        <w:tc>
          <w:tcPr>
            <w:tcW w:w="4212" w:type="dxa"/>
            <w:tcBorders>
              <w:top w:val="none" w:sz="0" w:space="0" w:color="auto"/>
              <w:left w:val="none" w:sz="0" w:space="0" w:color="auto"/>
              <w:bottom w:val="none" w:sz="0" w:space="0" w:color="auto"/>
              <w:right w:val="none" w:sz="0" w:space="0" w:color="auto"/>
            </w:tcBorders>
          </w:tcPr>
          <w:p w:rsidR="003C2CB4" w:rsidRPr="00A8478E" w:rsidRDefault="0054771F"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The panel will consider all information gathered in the course of the dispute and make recommendations about how the matter can be resolved.</w:t>
            </w:r>
          </w:p>
        </w:tc>
        <w:tc>
          <w:tcPr>
            <w:tcW w:w="2671" w:type="dxa"/>
            <w:tcBorders>
              <w:top w:val="none" w:sz="0" w:space="0" w:color="auto"/>
              <w:left w:val="none" w:sz="0" w:space="0" w:color="auto"/>
              <w:bottom w:val="none" w:sz="0" w:space="0" w:color="auto"/>
              <w:right w:val="none" w:sz="0" w:space="0" w:color="auto"/>
            </w:tcBorders>
          </w:tcPr>
          <w:p w:rsidR="003C2CB4" w:rsidRPr="00A8478E" w:rsidRDefault="00FD6261"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Escalation Panel</w:t>
            </w:r>
          </w:p>
        </w:tc>
        <w:tc>
          <w:tcPr>
            <w:tcW w:w="2684" w:type="dxa"/>
            <w:tcBorders>
              <w:top w:val="none" w:sz="0" w:space="0" w:color="auto"/>
              <w:left w:val="none" w:sz="0" w:space="0" w:color="auto"/>
              <w:bottom w:val="none" w:sz="0" w:space="0" w:color="auto"/>
            </w:tcBorders>
          </w:tcPr>
          <w:p w:rsidR="003E6781" w:rsidRPr="00A8478E" w:rsidRDefault="00FD6261" w:rsidP="004672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 xml:space="preserve">Within Meeting </w:t>
            </w:r>
          </w:p>
          <w:p w:rsidR="003C2CB4" w:rsidRPr="00A8478E" w:rsidRDefault="00FD6261" w:rsidP="00765C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478E">
              <w:rPr>
                <w:rFonts w:ascii="Arial" w:hAnsi="Arial" w:cs="Arial"/>
              </w:rPr>
              <w:t>(no longer than 13 working days from the point of disagreement being raised)</w:t>
            </w:r>
            <w:r w:rsidR="00765CD2" w:rsidRPr="00A8478E">
              <w:rPr>
                <w:rFonts w:ascii="Arial" w:hAnsi="Arial" w:cs="Arial"/>
              </w:rPr>
              <w:t xml:space="preserve"> and take no more than 48 hours.</w:t>
            </w:r>
          </w:p>
        </w:tc>
      </w:tr>
    </w:tbl>
    <w:p w:rsidR="003C2CB4" w:rsidRPr="00EF49E9" w:rsidRDefault="003C2CB4" w:rsidP="004672AF">
      <w:pPr>
        <w:spacing w:after="0"/>
        <w:rPr>
          <w:rFonts w:ascii="Arial" w:hAnsi="Arial" w:cs="Arial"/>
          <w:sz w:val="24"/>
          <w:szCs w:val="24"/>
        </w:rPr>
      </w:pPr>
    </w:p>
    <w:sectPr w:rsidR="003C2CB4" w:rsidRPr="00EF49E9" w:rsidSect="00767819">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8E" w:rsidRDefault="00A8478E" w:rsidP="00A8478E">
      <w:pPr>
        <w:spacing w:after="0" w:line="240" w:lineRule="auto"/>
      </w:pPr>
      <w:r>
        <w:separator/>
      </w:r>
    </w:p>
  </w:endnote>
  <w:endnote w:type="continuationSeparator" w:id="0">
    <w:p w:rsidR="00A8478E" w:rsidRDefault="00A8478E" w:rsidP="00A8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F2" w:rsidRDefault="00FF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480927"/>
      <w:docPartObj>
        <w:docPartGallery w:val="Page Numbers (Bottom of Page)"/>
        <w:docPartUnique/>
      </w:docPartObj>
    </w:sdtPr>
    <w:sdtEndPr>
      <w:rPr>
        <w:noProof/>
      </w:rPr>
    </w:sdtEndPr>
    <w:sdtContent>
      <w:p w:rsidR="00A8478E" w:rsidRDefault="00A8478E">
        <w:pPr>
          <w:pStyle w:val="Footer"/>
          <w:jc w:val="center"/>
        </w:pPr>
        <w:r w:rsidRPr="00AF79A2">
          <w:rPr>
            <w:rFonts w:ascii="Arial" w:hAnsi="Arial" w:cs="Arial"/>
            <w:sz w:val="24"/>
            <w:szCs w:val="24"/>
          </w:rPr>
          <w:fldChar w:fldCharType="begin"/>
        </w:r>
        <w:r w:rsidRPr="00AF79A2">
          <w:rPr>
            <w:rFonts w:ascii="Arial" w:hAnsi="Arial" w:cs="Arial"/>
            <w:sz w:val="24"/>
            <w:szCs w:val="24"/>
          </w:rPr>
          <w:instrText xml:space="preserve"> PAGE   \* MERGEFORMAT </w:instrText>
        </w:r>
        <w:r w:rsidRPr="00AF79A2">
          <w:rPr>
            <w:rFonts w:ascii="Arial" w:hAnsi="Arial" w:cs="Arial"/>
            <w:sz w:val="24"/>
            <w:szCs w:val="24"/>
          </w:rPr>
          <w:fldChar w:fldCharType="separate"/>
        </w:r>
        <w:r w:rsidR="00572F26">
          <w:rPr>
            <w:rFonts w:ascii="Arial" w:hAnsi="Arial" w:cs="Arial"/>
            <w:noProof/>
            <w:sz w:val="24"/>
            <w:szCs w:val="24"/>
          </w:rPr>
          <w:t>2</w:t>
        </w:r>
        <w:r w:rsidRPr="00AF79A2">
          <w:rPr>
            <w:rFonts w:ascii="Arial" w:hAnsi="Arial" w:cs="Arial"/>
            <w:noProof/>
            <w:sz w:val="24"/>
            <w:szCs w:val="24"/>
          </w:rPr>
          <w:fldChar w:fldCharType="end"/>
        </w:r>
      </w:p>
    </w:sdtContent>
  </w:sdt>
  <w:p w:rsidR="00A8478E" w:rsidRDefault="00457006">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1" name="MSIPCM9dbb4768a722029f79f3d795" descr="{&quot;HashCode&quot;:14550546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57006" w:rsidRPr="00FF64F2" w:rsidRDefault="00FF64F2" w:rsidP="00FF64F2">
                          <w:pPr>
                            <w:spacing w:after="0"/>
                            <w:jc w:val="center"/>
                            <w:rPr>
                              <w:rFonts w:ascii="Calibri" w:hAnsi="Calibri" w:cs="Calibri"/>
                              <w:color w:val="000000"/>
                              <w:sz w:val="16"/>
                            </w:rPr>
                          </w:pPr>
                          <w:r w:rsidRPr="00FF64F2">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dbb4768a722029f79f3d795" o:spid="_x0000_s1026" type="#_x0000_t202" alt="{&quot;HashCode&quot;:145505464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DN493hgDAAA2BgAADgAAAAAAAAAAAAAA&#10;AAAuAgAAZHJzL2Uyb0RvYy54bWxQSwECLQAUAAYACAAAACEAxCDLhN8AAAALAQAADwAAAAAAAAAA&#10;AAAAAAByBQAAZHJzL2Rvd25yZXYueG1sUEsFBgAAAAAEAAQA8wAAAH4GAAAAAA==&#10;" o:allowincell="f" filled="f" stroked="f" strokeweight=".5pt">
              <v:fill o:detectmouseclick="t"/>
              <v:textbox inset=",0,,0">
                <w:txbxContent>
                  <w:p w:rsidR="00457006" w:rsidRPr="00FF64F2" w:rsidRDefault="00FF64F2" w:rsidP="00FF64F2">
                    <w:pPr>
                      <w:spacing w:after="0"/>
                      <w:jc w:val="center"/>
                      <w:rPr>
                        <w:rFonts w:ascii="Calibri" w:hAnsi="Calibri" w:cs="Calibri"/>
                        <w:color w:val="000000"/>
                        <w:sz w:val="16"/>
                      </w:rPr>
                    </w:pPr>
                    <w:r w:rsidRPr="00FF64F2">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F2" w:rsidRDefault="00FF6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8E" w:rsidRDefault="00A8478E" w:rsidP="00A8478E">
      <w:pPr>
        <w:spacing w:after="0" w:line="240" w:lineRule="auto"/>
      </w:pPr>
      <w:r>
        <w:separator/>
      </w:r>
    </w:p>
  </w:footnote>
  <w:footnote w:type="continuationSeparator" w:id="0">
    <w:p w:rsidR="00A8478E" w:rsidRDefault="00A8478E" w:rsidP="00A8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F2" w:rsidRDefault="00FF6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F2" w:rsidRDefault="00FF6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F2" w:rsidRDefault="00FF6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F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6C776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515057"/>
    <w:multiLevelType w:val="hybridMultilevel"/>
    <w:tmpl w:val="B860C4D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3CC057CB"/>
    <w:multiLevelType w:val="hybridMultilevel"/>
    <w:tmpl w:val="97BCA9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B03072A"/>
    <w:multiLevelType w:val="hybridMultilevel"/>
    <w:tmpl w:val="0AF260C4"/>
    <w:lvl w:ilvl="0" w:tplc="AD2E64BE">
      <w:start w:val="1"/>
      <w:numFmt w:val="bullet"/>
      <w:lvlText w:val="•"/>
      <w:lvlJc w:val="left"/>
      <w:pPr>
        <w:tabs>
          <w:tab w:val="num" w:pos="720"/>
        </w:tabs>
        <w:ind w:left="720" w:hanging="360"/>
      </w:pPr>
      <w:rPr>
        <w:rFonts w:ascii="Times New Roman" w:hAnsi="Times New Roman" w:hint="default"/>
      </w:rPr>
    </w:lvl>
    <w:lvl w:ilvl="1" w:tplc="3CF61336" w:tentative="1">
      <w:start w:val="1"/>
      <w:numFmt w:val="bullet"/>
      <w:lvlText w:val="•"/>
      <w:lvlJc w:val="left"/>
      <w:pPr>
        <w:tabs>
          <w:tab w:val="num" w:pos="1440"/>
        </w:tabs>
        <w:ind w:left="1440" w:hanging="360"/>
      </w:pPr>
      <w:rPr>
        <w:rFonts w:ascii="Times New Roman" w:hAnsi="Times New Roman" w:hint="default"/>
      </w:rPr>
    </w:lvl>
    <w:lvl w:ilvl="2" w:tplc="67021B0E" w:tentative="1">
      <w:start w:val="1"/>
      <w:numFmt w:val="bullet"/>
      <w:lvlText w:val="•"/>
      <w:lvlJc w:val="left"/>
      <w:pPr>
        <w:tabs>
          <w:tab w:val="num" w:pos="2160"/>
        </w:tabs>
        <w:ind w:left="2160" w:hanging="360"/>
      </w:pPr>
      <w:rPr>
        <w:rFonts w:ascii="Times New Roman" w:hAnsi="Times New Roman" w:hint="default"/>
      </w:rPr>
    </w:lvl>
    <w:lvl w:ilvl="3" w:tplc="60700220" w:tentative="1">
      <w:start w:val="1"/>
      <w:numFmt w:val="bullet"/>
      <w:lvlText w:val="•"/>
      <w:lvlJc w:val="left"/>
      <w:pPr>
        <w:tabs>
          <w:tab w:val="num" w:pos="2880"/>
        </w:tabs>
        <w:ind w:left="2880" w:hanging="360"/>
      </w:pPr>
      <w:rPr>
        <w:rFonts w:ascii="Times New Roman" w:hAnsi="Times New Roman" w:hint="default"/>
      </w:rPr>
    </w:lvl>
    <w:lvl w:ilvl="4" w:tplc="EBDE5E50" w:tentative="1">
      <w:start w:val="1"/>
      <w:numFmt w:val="bullet"/>
      <w:lvlText w:val="•"/>
      <w:lvlJc w:val="left"/>
      <w:pPr>
        <w:tabs>
          <w:tab w:val="num" w:pos="3600"/>
        </w:tabs>
        <w:ind w:left="3600" w:hanging="360"/>
      </w:pPr>
      <w:rPr>
        <w:rFonts w:ascii="Times New Roman" w:hAnsi="Times New Roman" w:hint="default"/>
      </w:rPr>
    </w:lvl>
    <w:lvl w:ilvl="5" w:tplc="A98838D8" w:tentative="1">
      <w:start w:val="1"/>
      <w:numFmt w:val="bullet"/>
      <w:lvlText w:val="•"/>
      <w:lvlJc w:val="left"/>
      <w:pPr>
        <w:tabs>
          <w:tab w:val="num" w:pos="4320"/>
        </w:tabs>
        <w:ind w:left="4320" w:hanging="360"/>
      </w:pPr>
      <w:rPr>
        <w:rFonts w:ascii="Times New Roman" w:hAnsi="Times New Roman" w:hint="default"/>
      </w:rPr>
    </w:lvl>
    <w:lvl w:ilvl="6" w:tplc="0E7603B0" w:tentative="1">
      <w:start w:val="1"/>
      <w:numFmt w:val="bullet"/>
      <w:lvlText w:val="•"/>
      <w:lvlJc w:val="left"/>
      <w:pPr>
        <w:tabs>
          <w:tab w:val="num" w:pos="5040"/>
        </w:tabs>
        <w:ind w:left="5040" w:hanging="360"/>
      </w:pPr>
      <w:rPr>
        <w:rFonts w:ascii="Times New Roman" w:hAnsi="Times New Roman" w:hint="default"/>
      </w:rPr>
    </w:lvl>
    <w:lvl w:ilvl="7" w:tplc="C3F8BE4E" w:tentative="1">
      <w:start w:val="1"/>
      <w:numFmt w:val="bullet"/>
      <w:lvlText w:val="•"/>
      <w:lvlJc w:val="left"/>
      <w:pPr>
        <w:tabs>
          <w:tab w:val="num" w:pos="5760"/>
        </w:tabs>
        <w:ind w:left="5760" w:hanging="360"/>
      </w:pPr>
      <w:rPr>
        <w:rFonts w:ascii="Times New Roman" w:hAnsi="Times New Roman" w:hint="default"/>
      </w:rPr>
    </w:lvl>
    <w:lvl w:ilvl="8" w:tplc="281053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E40866"/>
    <w:multiLevelType w:val="hybridMultilevel"/>
    <w:tmpl w:val="C46C0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880A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DF1D6F"/>
    <w:multiLevelType w:val="hybridMultilevel"/>
    <w:tmpl w:val="B41AC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94739D"/>
    <w:multiLevelType w:val="hybridMultilevel"/>
    <w:tmpl w:val="2AD0E33C"/>
    <w:lvl w:ilvl="0" w:tplc="FAB0F954">
      <w:start w:val="1"/>
      <w:numFmt w:val="bullet"/>
      <w:lvlText w:val="•"/>
      <w:lvlJc w:val="left"/>
      <w:pPr>
        <w:tabs>
          <w:tab w:val="num" w:pos="720"/>
        </w:tabs>
        <w:ind w:left="720" w:hanging="360"/>
      </w:pPr>
      <w:rPr>
        <w:rFonts w:ascii="Times New Roman" w:hAnsi="Times New Roman" w:hint="default"/>
      </w:rPr>
    </w:lvl>
    <w:lvl w:ilvl="1" w:tplc="D1C87E58" w:tentative="1">
      <w:start w:val="1"/>
      <w:numFmt w:val="bullet"/>
      <w:lvlText w:val="•"/>
      <w:lvlJc w:val="left"/>
      <w:pPr>
        <w:tabs>
          <w:tab w:val="num" w:pos="1440"/>
        </w:tabs>
        <w:ind w:left="1440" w:hanging="360"/>
      </w:pPr>
      <w:rPr>
        <w:rFonts w:ascii="Times New Roman" w:hAnsi="Times New Roman" w:hint="default"/>
      </w:rPr>
    </w:lvl>
    <w:lvl w:ilvl="2" w:tplc="93EC5642" w:tentative="1">
      <w:start w:val="1"/>
      <w:numFmt w:val="bullet"/>
      <w:lvlText w:val="•"/>
      <w:lvlJc w:val="left"/>
      <w:pPr>
        <w:tabs>
          <w:tab w:val="num" w:pos="2160"/>
        </w:tabs>
        <w:ind w:left="2160" w:hanging="360"/>
      </w:pPr>
      <w:rPr>
        <w:rFonts w:ascii="Times New Roman" w:hAnsi="Times New Roman" w:hint="default"/>
      </w:rPr>
    </w:lvl>
    <w:lvl w:ilvl="3" w:tplc="9392B218" w:tentative="1">
      <w:start w:val="1"/>
      <w:numFmt w:val="bullet"/>
      <w:lvlText w:val="•"/>
      <w:lvlJc w:val="left"/>
      <w:pPr>
        <w:tabs>
          <w:tab w:val="num" w:pos="2880"/>
        </w:tabs>
        <w:ind w:left="2880" w:hanging="360"/>
      </w:pPr>
      <w:rPr>
        <w:rFonts w:ascii="Times New Roman" w:hAnsi="Times New Roman" w:hint="default"/>
      </w:rPr>
    </w:lvl>
    <w:lvl w:ilvl="4" w:tplc="F4B0BD06" w:tentative="1">
      <w:start w:val="1"/>
      <w:numFmt w:val="bullet"/>
      <w:lvlText w:val="•"/>
      <w:lvlJc w:val="left"/>
      <w:pPr>
        <w:tabs>
          <w:tab w:val="num" w:pos="3600"/>
        </w:tabs>
        <w:ind w:left="3600" w:hanging="360"/>
      </w:pPr>
      <w:rPr>
        <w:rFonts w:ascii="Times New Roman" w:hAnsi="Times New Roman" w:hint="default"/>
      </w:rPr>
    </w:lvl>
    <w:lvl w:ilvl="5" w:tplc="2F925EA8" w:tentative="1">
      <w:start w:val="1"/>
      <w:numFmt w:val="bullet"/>
      <w:lvlText w:val="•"/>
      <w:lvlJc w:val="left"/>
      <w:pPr>
        <w:tabs>
          <w:tab w:val="num" w:pos="4320"/>
        </w:tabs>
        <w:ind w:left="4320" w:hanging="360"/>
      </w:pPr>
      <w:rPr>
        <w:rFonts w:ascii="Times New Roman" w:hAnsi="Times New Roman" w:hint="default"/>
      </w:rPr>
    </w:lvl>
    <w:lvl w:ilvl="6" w:tplc="EA2EAFA8" w:tentative="1">
      <w:start w:val="1"/>
      <w:numFmt w:val="bullet"/>
      <w:lvlText w:val="•"/>
      <w:lvlJc w:val="left"/>
      <w:pPr>
        <w:tabs>
          <w:tab w:val="num" w:pos="5040"/>
        </w:tabs>
        <w:ind w:left="5040" w:hanging="360"/>
      </w:pPr>
      <w:rPr>
        <w:rFonts w:ascii="Times New Roman" w:hAnsi="Times New Roman" w:hint="default"/>
      </w:rPr>
    </w:lvl>
    <w:lvl w:ilvl="7" w:tplc="2F5670DA" w:tentative="1">
      <w:start w:val="1"/>
      <w:numFmt w:val="bullet"/>
      <w:lvlText w:val="•"/>
      <w:lvlJc w:val="left"/>
      <w:pPr>
        <w:tabs>
          <w:tab w:val="num" w:pos="5760"/>
        </w:tabs>
        <w:ind w:left="5760" w:hanging="360"/>
      </w:pPr>
      <w:rPr>
        <w:rFonts w:ascii="Times New Roman" w:hAnsi="Times New Roman" w:hint="default"/>
      </w:rPr>
    </w:lvl>
    <w:lvl w:ilvl="8" w:tplc="D146F0B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8"/>
  </w:num>
  <w:num w:numId="3">
    <w:abstractNumId w:val="5"/>
  </w:num>
  <w:num w:numId="4">
    <w:abstractNumId w:val="7"/>
  </w:num>
  <w:num w:numId="5">
    <w:abstractNumId w:val="1"/>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B0"/>
    <w:rsid w:val="000B091A"/>
    <w:rsid w:val="00181875"/>
    <w:rsid w:val="001B5382"/>
    <w:rsid w:val="001C6DC7"/>
    <w:rsid w:val="00236B3F"/>
    <w:rsid w:val="00294231"/>
    <w:rsid w:val="002C5506"/>
    <w:rsid w:val="002F3D72"/>
    <w:rsid w:val="003B1D10"/>
    <w:rsid w:val="003C2CB4"/>
    <w:rsid w:val="003E6781"/>
    <w:rsid w:val="003F0E34"/>
    <w:rsid w:val="00457006"/>
    <w:rsid w:val="004672AF"/>
    <w:rsid w:val="0054771F"/>
    <w:rsid w:val="00572F26"/>
    <w:rsid w:val="005878B6"/>
    <w:rsid w:val="005C5B3E"/>
    <w:rsid w:val="00651D4C"/>
    <w:rsid w:val="00652D5A"/>
    <w:rsid w:val="006B1294"/>
    <w:rsid w:val="006E6C18"/>
    <w:rsid w:val="00765CD2"/>
    <w:rsid w:val="00767819"/>
    <w:rsid w:val="00820FDC"/>
    <w:rsid w:val="00874D09"/>
    <w:rsid w:val="00885E63"/>
    <w:rsid w:val="00907993"/>
    <w:rsid w:val="0097606A"/>
    <w:rsid w:val="009C1654"/>
    <w:rsid w:val="009E1DA7"/>
    <w:rsid w:val="00A8478E"/>
    <w:rsid w:val="00AF79A2"/>
    <w:rsid w:val="00B2030B"/>
    <w:rsid w:val="00B87E1E"/>
    <w:rsid w:val="00B902C0"/>
    <w:rsid w:val="00BD10D9"/>
    <w:rsid w:val="00C1117D"/>
    <w:rsid w:val="00CB51B0"/>
    <w:rsid w:val="00CF7568"/>
    <w:rsid w:val="00D17AED"/>
    <w:rsid w:val="00D260F3"/>
    <w:rsid w:val="00D3256C"/>
    <w:rsid w:val="00D43A2A"/>
    <w:rsid w:val="00D53428"/>
    <w:rsid w:val="00D61846"/>
    <w:rsid w:val="00D81975"/>
    <w:rsid w:val="00D90AA4"/>
    <w:rsid w:val="00DB736C"/>
    <w:rsid w:val="00DF2F20"/>
    <w:rsid w:val="00EB24BD"/>
    <w:rsid w:val="00EC24B0"/>
    <w:rsid w:val="00ED1B3D"/>
    <w:rsid w:val="00EF49E9"/>
    <w:rsid w:val="00EF766C"/>
    <w:rsid w:val="00FB790C"/>
    <w:rsid w:val="00FD6261"/>
    <w:rsid w:val="00FF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FB406"/>
  <w15:docId w15:val="{676BFE30-F367-4CF5-8ADC-089D0957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D09"/>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4D09"/>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4D09"/>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4D09"/>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4D0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4D0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4D0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4D0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4D0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B0"/>
    <w:rPr>
      <w:rFonts w:ascii="Tahoma" w:hAnsi="Tahoma" w:cs="Tahoma"/>
      <w:sz w:val="16"/>
      <w:szCs w:val="16"/>
    </w:rPr>
  </w:style>
  <w:style w:type="table" w:styleId="TableGrid">
    <w:name w:val="Table Grid"/>
    <w:basedOn w:val="TableNormal"/>
    <w:uiPriority w:val="59"/>
    <w:rsid w:val="003C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3C2C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181875"/>
    <w:pPr>
      <w:ind w:left="720"/>
      <w:contextualSpacing/>
    </w:pPr>
  </w:style>
  <w:style w:type="character" w:customStyle="1" w:styleId="Heading1Char">
    <w:name w:val="Heading 1 Char"/>
    <w:basedOn w:val="DefaultParagraphFont"/>
    <w:link w:val="Heading1"/>
    <w:uiPriority w:val="9"/>
    <w:rsid w:val="00874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4D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4D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74D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74D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74D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4D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4D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4D0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74D09"/>
    <w:pPr>
      <w:spacing w:after="0" w:line="240" w:lineRule="auto"/>
    </w:pPr>
  </w:style>
  <w:style w:type="character" w:styleId="CommentReference">
    <w:name w:val="annotation reference"/>
    <w:basedOn w:val="DefaultParagraphFont"/>
    <w:uiPriority w:val="99"/>
    <w:semiHidden/>
    <w:unhideWhenUsed/>
    <w:rsid w:val="001C6DC7"/>
    <w:rPr>
      <w:sz w:val="16"/>
      <w:szCs w:val="16"/>
    </w:rPr>
  </w:style>
  <w:style w:type="paragraph" w:styleId="CommentText">
    <w:name w:val="annotation text"/>
    <w:basedOn w:val="Normal"/>
    <w:link w:val="CommentTextChar"/>
    <w:uiPriority w:val="99"/>
    <w:semiHidden/>
    <w:unhideWhenUsed/>
    <w:rsid w:val="001C6DC7"/>
    <w:pPr>
      <w:spacing w:line="240" w:lineRule="auto"/>
    </w:pPr>
    <w:rPr>
      <w:sz w:val="20"/>
      <w:szCs w:val="20"/>
    </w:rPr>
  </w:style>
  <w:style w:type="character" w:customStyle="1" w:styleId="CommentTextChar">
    <w:name w:val="Comment Text Char"/>
    <w:basedOn w:val="DefaultParagraphFont"/>
    <w:link w:val="CommentText"/>
    <w:uiPriority w:val="99"/>
    <w:semiHidden/>
    <w:rsid w:val="001C6DC7"/>
    <w:rPr>
      <w:sz w:val="20"/>
      <w:szCs w:val="20"/>
    </w:rPr>
  </w:style>
  <w:style w:type="paragraph" w:styleId="CommentSubject">
    <w:name w:val="annotation subject"/>
    <w:basedOn w:val="CommentText"/>
    <w:next w:val="CommentText"/>
    <w:link w:val="CommentSubjectChar"/>
    <w:uiPriority w:val="99"/>
    <w:semiHidden/>
    <w:unhideWhenUsed/>
    <w:rsid w:val="001C6DC7"/>
    <w:rPr>
      <w:b/>
      <w:bCs/>
    </w:rPr>
  </w:style>
  <w:style w:type="character" w:customStyle="1" w:styleId="CommentSubjectChar">
    <w:name w:val="Comment Subject Char"/>
    <w:basedOn w:val="CommentTextChar"/>
    <w:link w:val="CommentSubject"/>
    <w:uiPriority w:val="99"/>
    <w:semiHidden/>
    <w:rsid w:val="001C6DC7"/>
    <w:rPr>
      <w:b/>
      <w:bCs/>
      <w:sz w:val="20"/>
      <w:szCs w:val="20"/>
    </w:rPr>
  </w:style>
  <w:style w:type="paragraph" w:styleId="Header">
    <w:name w:val="header"/>
    <w:basedOn w:val="Normal"/>
    <w:link w:val="HeaderChar"/>
    <w:uiPriority w:val="99"/>
    <w:unhideWhenUsed/>
    <w:rsid w:val="00A8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78E"/>
  </w:style>
  <w:style w:type="paragraph" w:styleId="Footer">
    <w:name w:val="footer"/>
    <w:basedOn w:val="Normal"/>
    <w:link w:val="FooterChar"/>
    <w:uiPriority w:val="99"/>
    <w:unhideWhenUsed/>
    <w:rsid w:val="00A84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361">
      <w:bodyDiv w:val="1"/>
      <w:marLeft w:val="0"/>
      <w:marRight w:val="0"/>
      <w:marTop w:val="0"/>
      <w:marBottom w:val="0"/>
      <w:divBdr>
        <w:top w:val="none" w:sz="0" w:space="0" w:color="auto"/>
        <w:left w:val="none" w:sz="0" w:space="0" w:color="auto"/>
        <w:bottom w:val="none" w:sz="0" w:space="0" w:color="auto"/>
        <w:right w:val="none" w:sz="0" w:space="0" w:color="auto"/>
      </w:divBdr>
      <w:divsChild>
        <w:div w:id="606930975">
          <w:marLeft w:val="547"/>
          <w:marRight w:val="0"/>
          <w:marTop w:val="0"/>
          <w:marBottom w:val="0"/>
          <w:divBdr>
            <w:top w:val="none" w:sz="0" w:space="0" w:color="auto"/>
            <w:left w:val="none" w:sz="0" w:space="0" w:color="auto"/>
            <w:bottom w:val="none" w:sz="0" w:space="0" w:color="auto"/>
            <w:right w:val="none" w:sz="0" w:space="0" w:color="auto"/>
          </w:divBdr>
        </w:div>
      </w:divsChild>
    </w:div>
    <w:div w:id="737435650">
      <w:bodyDiv w:val="1"/>
      <w:marLeft w:val="0"/>
      <w:marRight w:val="0"/>
      <w:marTop w:val="0"/>
      <w:marBottom w:val="0"/>
      <w:divBdr>
        <w:top w:val="none" w:sz="0" w:space="0" w:color="auto"/>
        <w:left w:val="none" w:sz="0" w:space="0" w:color="auto"/>
        <w:bottom w:val="none" w:sz="0" w:space="0" w:color="auto"/>
        <w:right w:val="none" w:sz="0" w:space="0" w:color="auto"/>
      </w:divBdr>
      <w:divsChild>
        <w:div w:id="1441335111">
          <w:marLeft w:val="547"/>
          <w:marRight w:val="0"/>
          <w:marTop w:val="0"/>
          <w:marBottom w:val="0"/>
          <w:divBdr>
            <w:top w:val="none" w:sz="0" w:space="0" w:color="auto"/>
            <w:left w:val="none" w:sz="0" w:space="0" w:color="auto"/>
            <w:bottom w:val="none" w:sz="0" w:space="0" w:color="auto"/>
            <w:right w:val="none" w:sz="0" w:space="0" w:color="auto"/>
          </w:divBdr>
        </w:div>
      </w:divsChild>
    </w:div>
    <w:div w:id="1188368566">
      <w:bodyDiv w:val="1"/>
      <w:marLeft w:val="0"/>
      <w:marRight w:val="0"/>
      <w:marTop w:val="0"/>
      <w:marBottom w:val="0"/>
      <w:divBdr>
        <w:top w:val="none" w:sz="0" w:space="0" w:color="auto"/>
        <w:left w:val="none" w:sz="0" w:space="0" w:color="auto"/>
        <w:bottom w:val="none" w:sz="0" w:space="0" w:color="auto"/>
        <w:right w:val="none" w:sz="0" w:space="0" w:color="auto"/>
      </w:divBdr>
      <w:divsChild>
        <w:div w:id="1271010978">
          <w:marLeft w:val="547"/>
          <w:marRight w:val="0"/>
          <w:marTop w:val="0"/>
          <w:marBottom w:val="0"/>
          <w:divBdr>
            <w:top w:val="none" w:sz="0" w:space="0" w:color="auto"/>
            <w:left w:val="none" w:sz="0" w:space="0" w:color="auto"/>
            <w:bottom w:val="none" w:sz="0" w:space="0" w:color="auto"/>
            <w:right w:val="none" w:sz="0" w:space="0" w:color="auto"/>
          </w:divBdr>
        </w:div>
      </w:divsChild>
    </w:div>
    <w:div w:id="1250193757">
      <w:bodyDiv w:val="1"/>
      <w:marLeft w:val="0"/>
      <w:marRight w:val="0"/>
      <w:marTop w:val="0"/>
      <w:marBottom w:val="0"/>
      <w:divBdr>
        <w:top w:val="none" w:sz="0" w:space="0" w:color="auto"/>
        <w:left w:val="none" w:sz="0" w:space="0" w:color="auto"/>
        <w:bottom w:val="none" w:sz="0" w:space="0" w:color="auto"/>
        <w:right w:val="none" w:sz="0" w:space="0" w:color="auto"/>
      </w:divBdr>
      <w:divsChild>
        <w:div w:id="3692338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Haydn ReesJones</cp:lastModifiedBy>
  <cp:revision>2</cp:revision>
  <cp:lastPrinted>2018-03-15T14:41:00Z</cp:lastPrinted>
  <dcterms:created xsi:type="dcterms:W3CDTF">2021-07-21T08:26:00Z</dcterms:created>
  <dcterms:modified xsi:type="dcterms:W3CDTF">2021-07-21T08:26:00Z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2021-07-21T08:25:17Z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a1859350-bd09-46c7-876f-4d0254e8b57e</vt:lpwstr>
  </property>
  <property fmtid="{D5CDD505-2E9C-101B-9397-08002B2CF9AE}" pid="8" name="MSIP_Label_fed8f876-564b-4f76-8af5-3f8008623cd6_ContentBits">
    <vt:lpwstr>2</vt:lpwstr>
  </property>
</Properties>
</file>